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Go-To-Market and Ideal Customer Profile Framework for DeepGrid Semi: Navigating the Pre-Series A Transition to Custom Silicon in India and the GCC</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Executive Summary: The Pre-Series A Strategic Crossroads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commercial autonomous vehicle (AV) and advanced driver assistance systems (ADAS) semiconductor market is characterized by structural capital intensity, prolonged design-in validation cycles, and significant cash burn before achieving commercial viability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Within this high-barrier landscape, DeepGrid Semi, currently incubated at T-Hub Phase 2 in Hyderabad, stands at a critical technological and commercial crossroads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As an early-stage, pre-revenue fabless semiconductor startup, DeepGrid has successfully validated its custom </w:t>
      </w:r>
      <w:r w:rsidDel="00000000" w:rsidR="00000000" w:rsidRPr="00000000">
        <w:rPr>
          <w:rFonts w:ascii="Google Sans" w:cs="Google Sans" w:eastAsia="Google Sans" w:hAnsi="Google Sans"/>
          <w:color w:val="1f1f1f"/>
        </w:rPr>
        <w:drawing>
          <wp:inline distB="19050" distT="19050" distL="19050" distR="19050">
            <wp:extent cx="933569" cy="237218"/>
            <wp:effectExtent b="0" l="0" r="0" t="0"/>
            <wp:docPr id="87"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933569" cy="23721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INT8 edge-AI architecture on Field-Programmable Gate Arrays (FPGAs)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However, the enterprise currently lacks established Tier-1 automotive customers or the massive capital required to transition from high-cost FPGA prototyping—which currently costs approximately </w:t>
      </w:r>
      <w:r w:rsidDel="00000000" w:rsidR="00000000" w:rsidRPr="00000000">
        <w:rPr>
          <w:rFonts w:ascii="Google Sans" w:cs="Google Sans" w:eastAsia="Google Sans" w:hAnsi="Google Sans"/>
          <w:color w:val="1f1f1f"/>
        </w:rPr>
        <w:drawing>
          <wp:inline distB="19050" distT="19050" distL="19050" distR="19050">
            <wp:extent cx="642223" cy="239866"/>
            <wp:effectExtent b="0" l="0" r="0" t="0"/>
            <wp:docPr id="89" name="image37.png"/>
            <a:graphic>
              <a:graphicData uri="http://schemas.openxmlformats.org/drawingml/2006/picture">
                <pic:pic>
                  <pic:nvPicPr>
                    <pic:cNvPr id="0" name="image37.png"/>
                    <pic:cNvPicPr preferRelativeResize="0"/>
                  </pic:nvPicPr>
                  <pic:blipFill>
                    <a:blip r:embed="rId7"/>
                    <a:srcRect b="0" l="0" r="0" t="0"/>
                    <a:stretch>
                      <a:fillRect/>
                    </a:stretch>
                  </pic:blipFill>
                  <pic:spPr>
                    <a:xfrm>
                      <a:off x="0" y="0"/>
                      <a:ext cx="642223" cy="239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98765" cy="237971"/>
            <wp:effectExtent b="0" l="0" r="0" t="0"/>
            <wp:docPr id="88" name="image34.png"/>
            <a:graphic>
              <a:graphicData uri="http://schemas.openxmlformats.org/drawingml/2006/picture">
                <pic:pic>
                  <pic:nvPicPr>
                    <pic:cNvPr id="0" name="image34.png"/>
                    <pic:cNvPicPr preferRelativeResize="0"/>
                  </pic:nvPicPr>
                  <pic:blipFill>
                    <a:blip r:embed="rId8"/>
                    <a:srcRect b="0" l="0" r="0" t="0"/>
                    <a:stretch>
                      <a:fillRect/>
                    </a:stretch>
                  </pic:blipFill>
                  <pic:spPr>
                    <a:xfrm>
                      <a:off x="0" y="0"/>
                      <a:ext cx="598765" cy="2379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board—to mass-produced custom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91"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Application-Specific Integrated Circuits (ASICs), projected to cost less than </w:t>
      </w:r>
      <w:r w:rsidDel="00000000" w:rsidR="00000000" w:rsidRPr="00000000">
        <w:rPr>
          <w:rFonts w:ascii="Google Sans" w:cs="Google Sans" w:eastAsia="Google Sans" w:hAnsi="Google Sans"/>
          <w:color w:val="1f1f1f"/>
        </w:rPr>
        <w:drawing>
          <wp:inline distB="19050" distT="19050" distL="19050" distR="19050">
            <wp:extent cx="544354" cy="237676"/>
            <wp:effectExtent b="0" l="0" r="0" t="0"/>
            <wp:docPr id="90" name="image49.png"/>
            <a:graphic>
              <a:graphicData uri="http://schemas.openxmlformats.org/drawingml/2006/picture">
                <pic:pic>
                  <pic:nvPicPr>
                    <pic:cNvPr id="0" name="image49.png"/>
                    <pic:cNvPicPr preferRelativeResize="0"/>
                  </pic:nvPicPr>
                  <pic:blipFill>
                    <a:blip r:embed="rId10"/>
                    <a:srcRect b="0" l="0" r="0" t="0"/>
                    <a:stretch>
                      <a:fillRect/>
                    </a:stretch>
                  </pic:blipFill>
                  <pic:spPr>
                    <a:xfrm>
                      <a:off x="0" y="0"/>
                      <a:ext cx="544354" cy="23767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94" name="image54.png"/>
            <a:graphic>
              <a:graphicData uri="http://schemas.openxmlformats.org/drawingml/2006/picture">
                <pic:pic>
                  <pic:nvPicPr>
                    <pic:cNvPr id="0" name="image54.png"/>
                    <pic:cNvPicPr preferRelativeResize="0"/>
                  </pic:nvPicPr>
                  <pic:blipFill>
                    <a:blip r:embed="rId11"/>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chip at scale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fund the physical fabrication of its custom combo-die, DeepGrid is actively seeking to raise a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92"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82573" cy="237628"/>
            <wp:effectExtent b="0" l="0" r="0" t="0"/>
            <wp:docPr id="9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82573" cy="23762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Pre-Series A venture capital round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For institutional investors, technical validation on FPGAs is insufficient; the primary investment thesis depends on demonstrating a realistic, rapid path to commercial traction and cash-flow generation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report establishes a systematic framework for identifying DeepGrid’s Ideal Customer Profiles (ICPs) and maps out actionable Go-To-Market (GTM) strategies customized to these profiles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analyzing the commercial playbooks of global autonomous vehicle leaders and domestic Indian semiconductor startups, this report outlines how DeepGrid can leverage near-term regulatory safety mandates, dual-use tactical contracts, and unique hardware price advantages to bypass traditional multi-year automotive OEM cycles, mitigate capital burn, and build a highly defensible, localized data moat in India and the Gulf Cooperation Council (GCC) markets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Systematic Methodology for Identifying DeepGrid’s ICP</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common point of failure for fabless semiconductor startups is targeting broad, unconstrained market segments without evaluating customer buying behaviors, technical integration friction, and regulatory timelines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To optimize its limited Pre-Series A capital, DeepGrid must utilize a rigorous, multi-dimensional diagnostic framework to identify, score, and prioritize potential customer segments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systematic methodology relies on five critical strategic evaluation dimensions:</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Regulatory Compulsion Index:</w:t>
      </w:r>
      <w:r w:rsidDel="00000000" w:rsidR="00000000" w:rsidRPr="00000000">
        <w:rPr>
          <w:rFonts w:ascii="Google Sans" w:cs="Google Sans" w:eastAsia="Google Sans" w:hAnsi="Google Sans"/>
          <w:color w:val="1f1f1f"/>
          <w:rtl w:val="0"/>
        </w:rPr>
        <w:t xml:space="preserve"> This dimension measures whether the customer's purchase is discretionary or driven by immediate, non-discretionary legislative mandates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Segments facing hard regulatory compliance deadlines (such as India's upcoming heavy vehicle safety standards or Saudi Arabia's tracking laws) are prioritized because they exhibit condensed sales cycles and low marketing friction</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Technical Integration &amp; Certification Friction:</w:t>
      </w:r>
      <w:r w:rsidDel="00000000" w:rsidR="00000000" w:rsidRPr="00000000">
        <w:rPr>
          <w:rFonts w:ascii="Google Sans" w:cs="Google Sans" w:eastAsia="Google Sans" w:hAnsi="Google Sans"/>
          <w:color w:val="1f1f1f"/>
          <w:rtl w:val="0"/>
        </w:rPr>
        <w:t xml:space="preserve"> This parameter evaluates the engineering hours, architectural modifications, and safety homologation testing (such as ISO 26262 functional safety, AIS-004 electromagnetic compatibility, and AIS-189 cybersecurity certifications) required to design DeepGrid's silicon into the customer's platform</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Higher integration complexity delays time-to-revenue and increases cash burn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Price Elasticity &amp; BOM Limit:</w:t>
      </w:r>
      <w:r w:rsidDel="00000000" w:rsidR="00000000" w:rsidRPr="00000000">
        <w:rPr>
          <w:rFonts w:ascii="Google Sans" w:cs="Google Sans" w:eastAsia="Google Sans" w:hAnsi="Google Sans"/>
          <w:color w:val="1f1f1f"/>
          <w:rtl w:val="0"/>
        </w:rPr>
        <w:t xml:space="preserve"> This dimension analyzes the customer's tolerance for hardware acquisition costs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Large commercial transport fleets and logistics networks in emerging markets exhibit extreme price sensitivity and thin operational margins, making them highly receptive to DeepGrid's projected low-cost ASIC board Bill of Materials (BOM) of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96"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compared to expensive foreign imported computing systems costing upwards of </w:t>
      </w:r>
      <w:r w:rsidDel="00000000" w:rsidR="00000000" w:rsidRPr="00000000">
        <w:rPr>
          <w:rFonts w:ascii="Google Sans" w:cs="Google Sans" w:eastAsia="Google Sans" w:hAnsi="Google Sans"/>
          <w:color w:val="1f1f1f"/>
        </w:rPr>
        <w:drawing>
          <wp:inline distB="19050" distT="19050" distL="19050" distR="19050">
            <wp:extent cx="577096" cy="235394"/>
            <wp:effectExtent b="0" l="0" r="0" t="0"/>
            <wp:docPr id="103" name="image62.png"/>
            <a:graphic>
              <a:graphicData uri="http://schemas.openxmlformats.org/drawingml/2006/picture">
                <pic:pic>
                  <pic:nvPicPr>
                    <pic:cNvPr id="0" name="image62.png"/>
                    <pic:cNvPicPr preferRelativeResize="0"/>
                  </pic:nvPicPr>
                  <pic:blipFill>
                    <a:blip r:embed="rId15"/>
                    <a:srcRect b="0" l="0" r="0" t="0"/>
                    <a:stretch>
                      <a:fillRect/>
                    </a:stretch>
                  </pic:blipFill>
                  <pic:spPr>
                    <a:xfrm>
                      <a:off x="0" y="0"/>
                      <a:ext cx="577096" cy="235394"/>
                    </a:xfrm>
                    <a:prstGeom prst="rect"/>
                    <a:ln/>
                  </pic:spPr>
                </pic:pic>
              </a:graphicData>
            </a:graphic>
          </wp:inline>
        </w:drawing>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Sales Cycle &amp; Time-to-Revenue Duration:</w:t>
      </w:r>
      <w:r w:rsidDel="00000000" w:rsidR="00000000" w:rsidRPr="00000000">
        <w:rPr>
          <w:rFonts w:ascii="Google Sans" w:cs="Google Sans" w:eastAsia="Google Sans" w:hAnsi="Google Sans"/>
          <w:color w:val="1f1f1f"/>
          <w:rtl w:val="0"/>
        </w:rPr>
        <w:t xml:space="preserve"> This metric measures the duration between initial technical engagement and commercial volume shipments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Direct passenger vehicle OEM sales cycles typically span three to five years, whereas off-highway industrial projects or defense research contracts often finalize procurement in under six to twelve months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Operational Design Domain (ODD) Entropy:</w:t>
      </w:r>
      <w:r w:rsidDel="00000000" w:rsidR="00000000" w:rsidRPr="00000000">
        <w:rPr>
          <w:rFonts w:ascii="Google Sans" w:cs="Google Sans" w:eastAsia="Google Sans" w:hAnsi="Google Sans"/>
          <w:color w:val="1f1f1f"/>
          <w:rtl w:val="0"/>
        </w:rPr>
        <w:t xml:space="preserve"> This dimension maps the physical environments of the application, contrasting highly structured, predictable interstate highways with unstructured, chaotic urban roadways and off-highway terrains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High-entropy environments require real-world, localized training datasets that can process unique local variables (such as three-wheelers, unlit vehicles, and wandering livestock), which provides a natural moat against general-purpose global computing platforms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strategic evaluation matrix below summarizes the scoring of three potential ICP options along these five core dimensions: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Strategic Evaluation Dimension</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Option A: Tactical Defense &amp; Off-Highway Industrial Robotics</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Option B: Non-Discretionary Aftermarket Commercial Fleet Retrofit</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Option C: Direct OEM Factory Line-Fit Embedding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Primary Platforms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Unmanned Ground Vehicles (UGVs), Port AGVs, Autonomous Mobile Robots (AMRs)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Category </w:t>
            </w:r>
            <w:r w:rsidDel="00000000" w:rsidR="00000000" w:rsidRPr="00000000">
              <w:rPr>
                <w:rFonts w:ascii="Google Sans" w:cs="Google Sans" w:eastAsia="Google Sans" w:hAnsi="Google Sans"/>
                <w:color w:val="1f1f1f"/>
              </w:rPr>
              <w:drawing>
                <wp:inline distB="19050" distT="19050" distL="19050" distR="19050">
                  <wp:extent cx="569476" cy="242976"/>
                  <wp:effectExtent b="0" l="0" r="0" t="0"/>
                  <wp:docPr id="100" name="image42.png"/>
                  <a:graphic>
                    <a:graphicData uri="http://schemas.openxmlformats.org/drawingml/2006/picture">
                      <pic:pic>
                        <pic:nvPicPr>
                          <pic:cNvPr id="0" name="image42.png"/>
                          <pic:cNvPicPr preferRelativeResize="0"/>
                        </pic:nvPicPr>
                        <pic:blipFill>
                          <a:blip r:embed="rId16"/>
                          <a:srcRect b="0" l="0" r="0" t="0"/>
                          <a:stretch>
                            <a:fillRect/>
                          </a:stretch>
                        </pic:blipFill>
                        <pic:spPr>
                          <a:xfrm>
                            <a:off x="0" y="0"/>
                            <a:ext cx="569476" cy="24297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heavy commercial cargo trucks and regional logistics vehicles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New production buses (</w:t>
            </w:r>
            <w:r w:rsidDel="00000000" w:rsidR="00000000" w:rsidRPr="00000000">
              <w:rPr>
                <w:rFonts w:ascii="Google Sans" w:cs="Google Sans" w:eastAsia="Google Sans" w:hAnsi="Google Sans"/>
                <w:color w:val="1f1f1f"/>
              </w:rPr>
              <w:drawing>
                <wp:inline distB="19050" distT="19050" distL="19050" distR="19050">
                  <wp:extent cx="634960" cy="244804"/>
                  <wp:effectExtent b="0" l="0" r="0" t="0"/>
                  <wp:docPr id="102" name="image51.png"/>
                  <a:graphic>
                    <a:graphicData uri="http://schemas.openxmlformats.org/drawingml/2006/picture">
                      <pic:pic>
                        <pic:nvPicPr>
                          <pic:cNvPr id="0" name="image51.png"/>
                          <pic:cNvPicPr preferRelativeResize="0"/>
                        </pic:nvPicPr>
                        <pic:blipFill>
                          <a:blip r:embed="rId17"/>
                          <a:srcRect b="0" l="0" r="0" t="0"/>
                          <a:stretch>
                            <a:fillRect/>
                          </a:stretch>
                        </pic:blipFill>
                        <pic:spPr>
                          <a:xfrm>
                            <a:off x="0" y="0"/>
                            <a:ext cx="634960" cy="24480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heavy commercial goods vehicles (</w:t>
            </w:r>
            <w:r w:rsidDel="00000000" w:rsidR="00000000" w:rsidRPr="00000000">
              <w:rPr>
                <w:rFonts w:ascii="Google Sans" w:cs="Google Sans" w:eastAsia="Google Sans" w:hAnsi="Google Sans"/>
                <w:color w:val="1f1f1f"/>
              </w:rPr>
              <w:drawing>
                <wp:inline distB="19050" distT="19050" distL="19050" distR="19050">
                  <wp:extent cx="569476" cy="242976"/>
                  <wp:effectExtent b="0" l="0" r="0" t="0"/>
                  <wp:docPr id="105" name="image42.png"/>
                  <a:graphic>
                    <a:graphicData uri="http://schemas.openxmlformats.org/drawingml/2006/picture">
                      <pic:pic>
                        <pic:nvPicPr>
                          <pic:cNvPr id="0" name="image42.png"/>
                          <pic:cNvPicPr preferRelativeResize="0"/>
                        </pic:nvPicPr>
                        <pic:blipFill>
                          <a:blip r:embed="rId16"/>
                          <a:srcRect b="0" l="0" r="0" t="0"/>
                          <a:stretch>
                            <a:fillRect/>
                          </a:stretch>
                        </pic:blipFill>
                        <pic:spPr>
                          <a:xfrm>
                            <a:off x="0" y="0"/>
                            <a:ext cx="569476" cy="242976"/>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Regulatory Compulsion Index</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 driven by localized defense sovereignty requirements and port optimization initiatives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Extreme;</w:t>
            </w:r>
            <w:r w:rsidDel="00000000" w:rsidR="00000000" w:rsidRPr="00000000">
              <w:rPr>
                <w:rFonts w:ascii="Google Sans" w:cs="Google Sans" w:eastAsia="Google Sans" w:hAnsi="Google Sans"/>
                <w:color w:val="1f1f1f"/>
                <w:rtl w:val="0"/>
              </w:rPr>
              <w:t xml:space="preserve"> governed by immediate national transport safety laws and tracking mandates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 required for new vehicle type approvals and conformity of production certificates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Integration &amp; Certification Friction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Low-to-Moderate; self-contained system integration, localized safety parameters, bypassing complex public road approvals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 requires external vehicle mounting, standard power harness mapping, and basic AIS compliance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Extreme;</w:t>
            </w:r>
            <w:r w:rsidDel="00000000" w:rsidR="00000000" w:rsidRPr="00000000">
              <w:rPr>
                <w:rFonts w:ascii="Google Sans" w:cs="Google Sans" w:eastAsia="Google Sans" w:hAnsi="Google Sans"/>
                <w:color w:val="1f1f1f"/>
                <w:rtl w:val="0"/>
              </w:rPr>
              <w:t xml:space="preserve"> requires multi-year vehicle integration, ISO 26262, AIS-189 cyber-security, and AIS-190 software compliance</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Price Elasticity &amp; BOM Limit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Low; prioritize sovereign data security, robust military-grade durability, and localized hardware control over unit margins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 extreme price sensitivity; operators require near-term return on capital to offset compliance costs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Moderate-to-High; intense cost control on assembly line inputs; strict margins on high-volume multi-year contracts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Sales Cycle &amp; Time-to-Revenue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Short (6–12 Months);</w:t>
            </w:r>
            <w:r w:rsidDel="00000000" w:rsidR="00000000" w:rsidRPr="00000000">
              <w:rPr>
                <w:rFonts w:ascii="Google Sans" w:cs="Google Sans" w:eastAsia="Google Sans" w:hAnsi="Google Sans"/>
                <w:color w:val="1f1f1f"/>
                <w:rtl w:val="0"/>
              </w:rPr>
              <w:t xml:space="preserve"> direct military pilot contracts or private industrial terminal procurement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 (12–18 Months); direct-to-fleet retroactive installations, bypassing OEM supply networks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Long (24–48 Months); complex evaluation, assembly tooling redesign, and multi-year production pipeline delays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ODD Entropy &amp; Data Advantage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 rugged, GPS-denied tactical terrains, highly specific port terminal loading zones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Extreme;</w:t>
            </w:r>
            <w:r w:rsidDel="00000000" w:rsidR="00000000" w:rsidRPr="00000000">
              <w:rPr>
                <w:rFonts w:ascii="Google Sans" w:cs="Google Sans" w:eastAsia="Google Sans" w:hAnsi="Google Sans"/>
                <w:color w:val="1f1f1f"/>
                <w:rtl w:val="0"/>
              </w:rPr>
              <w:t xml:space="preserve"> unstructured mixed traffic, unmarked lanes, three-wheelers, and high environmental entropy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Moderate-to-High; standardized interstate highway paths combined with mixed-traffic terminal urban segments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bl>
    <w:p w:rsidR="00000000" w:rsidDel="00000000" w:rsidP="00000000" w:rsidRDefault="00000000" w:rsidRPr="00000000" w14:paraId="0000002B">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Detailed Evaluation of the Three ICP Strategic Options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systematic application of the diagnostic framework reveals three viable, distinct strategic options for DeepGrid's customer targeting</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Each option presents unique operating environments, technical requirements, and strategic entry points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A: Tactical Defense and Constrained Off-Highway Environments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A targets tactical military unmanned systems, national security agencies, and heavy off-highway industrial operators, such as seaports, mining terminals, and enclosed manufacturing campuses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80" w:before="390"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shd w:fill="141414" w:val="clear"/>
        </w:rPr>
      </w:pPr>
      <w:r w:rsidDel="00000000" w:rsidR="00000000" w:rsidRPr="00000000">
        <w:rPr>
          <w:rFonts w:ascii="Google Sans" w:cs="Google Sans" w:eastAsia="Google Sans" w:hAnsi="Google Sans"/>
          <w:color w:val="1f1f1f"/>
          <w:shd w:fill="141414" w:val="clear"/>
          <w:rtl w:val="0"/>
        </w:rPr>
        <w:t xml:space="preserve">┌────────────────────────────────────────────────────────────────────────┐</w:t>
        <w:br w:type="textWrapping"/>
        <w:t xml:space="preserve">│             ICP OPTION A: TACTICAL DEFENSE &amp; OFF-HIGHWAY               │</w:t>
        <w:br w:type="textWrapping"/>
        <w:t xml:space="preserve">├────────────────────────────────────────────────────────────────────────┤</w:t>
        <w:br w:type="textWrapping"/>
        <w:t xml:space="preserve">│ • Targets: Unmanned Ground Vehicles, Port AGVs, Campus AMRs. │</w:t>
        <w:br w:type="textWrapping"/>
        <w:t xml:space="preserve">│ • Primary Pain Point: Lack of secure, localized, low-latency compute.│</w:t>
        <w:br w:type="textWrapping"/>
        <w:t xml:space="preserve">│ • Key Silicon Enabler: D100 lockstep secure RISC-V enclave.  │</w:t>
        <w:br w:type="textWrapping"/>
        <w:t xml:space="preserve">│ • Buying Behavior: Insensitive to cost; demands high IP sovereignty.│</w:t>
        <w:br w:type="textWrapping"/>
        <w:t xml:space="preserve">└────────────────────────────────────────────────────────────────────────┘</w:t>
        <w:br w:type="textWrapping"/>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underlying buying behavior in this segment is driven by a critical need for secure, localized computing hardware that operates reliably in high-entropy, GPS-denied environments without relying on external cloud communications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National defense agencies require absolute intellectual property sovereignty and hardware-level cybersecurity to prevent external jamming or unauthorized system overrides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In this context, DeepGrid's inclusion of the D100 lockstep secure RISC-V enclave directly addresses these national defense specifications, providing an isolated cryptographic execution environment for tactical Unmanned Ground Vehicles (UGVs) and automated logistical systems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buying profile is highly insensitive to upfront hardware costs but demands military-grade physical system hardening, wide thermal operating tolerances, and direct access to raw sensory processing engines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In the industrial off-highway sub-segment, such as automated guided vehicles (AGVs) operating in major commercial seaports, the customer's pain point is operational efficiency and collision mitigation within tightly constrained spatial zones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profile is highly receptive to the direct integration of the R100 radar DSP and the T100 thermal/LiDAR DSP on a single silicon die, which eliminates the latency and physical reliability issues associated with multi-chip board configurations on heavy industrial machinery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B: Non-Discretionary Aftermarket Commercial Fleet Retrofit</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B targets the massive, highly fragmented commercial aftermarket transport sector, specifically focusing on private logistics operators, intercity transport fleets, and bulk cargo distribution companies managing medium and heavy commercial vehicles (</w:t>
      </w:r>
      <w:r w:rsidDel="00000000" w:rsidR="00000000" w:rsidRPr="00000000">
        <w:rPr>
          <w:rFonts w:ascii="Google Sans" w:cs="Google Sans" w:eastAsia="Google Sans" w:hAnsi="Google Sans"/>
          <w:color w:val="1f1f1f"/>
        </w:rPr>
        <w:drawing>
          <wp:inline distB="19050" distT="19050" distL="19050" distR="19050">
            <wp:extent cx="235744" cy="243348"/>
            <wp:effectExtent b="0" l="0" r="0" t="0"/>
            <wp:docPr id="106"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235744" cy="24334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w:t>
      </w:r>
      <w:r w:rsidDel="00000000" w:rsidR="00000000" w:rsidRPr="00000000">
        <w:rPr>
          <w:rFonts w:ascii="Google Sans" w:cs="Google Sans" w:eastAsia="Google Sans" w:hAnsi="Google Sans"/>
          <w:color w:val="1f1f1f"/>
        </w:rPr>
        <w:drawing>
          <wp:inline distB="19050" distT="19050" distL="19050" distR="19050">
            <wp:extent cx="235744" cy="243348"/>
            <wp:effectExtent b="0" l="0" r="0" t="0"/>
            <wp:docPr id="107" name="image63.png"/>
            <a:graphic>
              <a:graphicData uri="http://schemas.openxmlformats.org/drawingml/2006/picture">
                <pic:pic>
                  <pic:nvPicPr>
                    <pic:cNvPr id="0" name="image63.png"/>
                    <pic:cNvPicPr preferRelativeResize="0"/>
                  </pic:nvPicPr>
                  <pic:blipFill>
                    <a:blip r:embed="rId19"/>
                    <a:srcRect b="0" l="0" r="0" t="0"/>
                    <a:stretch>
                      <a:fillRect/>
                    </a:stretch>
                  </pic:blipFill>
                  <pic:spPr>
                    <a:xfrm>
                      <a:off x="0" y="0"/>
                      <a:ext cx="235744" cy="24334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categories)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80" w:before="390"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shd w:fill="141414" w:val="clear"/>
        </w:rPr>
      </w:pPr>
      <w:r w:rsidDel="00000000" w:rsidR="00000000" w:rsidRPr="00000000">
        <w:rPr>
          <w:rFonts w:ascii="Google Sans" w:cs="Google Sans" w:eastAsia="Google Sans" w:hAnsi="Google Sans"/>
          <w:color w:val="1f1f1f"/>
          <w:shd w:fill="141414" w:val="clear"/>
          <w:rtl w:val="0"/>
        </w:rPr>
        <w:t xml:space="preserve">┌────────────────────────────────────────────────────────────────────────┐</w:t>
        <w:br w:type="textWrapping"/>
        <w:t xml:space="preserve">│               ICP OPTION B: AFTERMARKET FLEET RETROFIT                 │</w:t>
        <w:br w:type="textWrapping"/>
        <w:t xml:space="preserve">├────────────────────────────────────────────────────────────────────────┤</w:t>
        <w:br w:type="textWrapping"/>
        <w:t xml:space="preserve">│ • Targets: N2/N3 commercial vehicle operators, private cargo fleets.│</w:t>
        <w:br w:type="textWrapping"/>
        <w:t xml:space="preserve">│ • Primary Pain Point: Legal mandate compliance vs. high system cost.│</w:t>
        <w:br w:type="textWrapping"/>
        <w:t xml:space="preserve">│ • Key Silicon Enabler: Low-cost A100 AI processor &amp; R100 Radar DSP.│</w:t>
        <w:br w:type="textWrapping"/>
        <w:t xml:space="preserve">│ • Buying Behavior: Highly cost-sensitive; requires rapid payback.  │</w:t>
        <w:br w:type="textWrapping"/>
        <w:t xml:space="preserve">└────────────────────────────────────────────────────────────────────────┘</w:t>
        <w:br w:type="textWrapping"/>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These buyers face immediate, non-discretionary regulatory pressure from national ministries of transport to implement advanced driver assistance technologies to curb road fatalities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However, these operators run on razor-thin operating margins and cannot afford to retire their existing vehicle fleets to purchase new, factory-compliant models</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Consequently, their primary buying criterion is the availability of low-cost, homologated, retroactive safety packages that can be installed on existing trucks to achieve legal compliance without causing significant business disruption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customer profile displays extreme price sensitivity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When evaluating safety upgrades, these operators compare the cost of compliance against the financial penalties of non-compliance and rising commercial insurance premiums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Traditional imported ADAS solutions—which rely on premium </w:t>
      </w:r>
      <w:r w:rsidDel="00000000" w:rsidR="00000000" w:rsidRPr="00000000">
        <w:rPr>
          <w:rFonts w:ascii="Google Sans" w:cs="Google Sans" w:eastAsia="Google Sans" w:hAnsi="Google Sans"/>
          <w:color w:val="1f1f1f"/>
        </w:rPr>
        <w:drawing>
          <wp:inline distB="19050" distT="19050" distL="19050" distR="19050">
            <wp:extent cx="370165" cy="239065"/>
            <wp:effectExtent b="0" l="0" r="0" t="0"/>
            <wp:docPr id="108"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70165" cy="239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merchant silicon platforms—cost upwards of </w:t>
      </w:r>
      <w:r w:rsidDel="00000000" w:rsidR="00000000" w:rsidRPr="00000000">
        <w:rPr>
          <w:rFonts w:ascii="Google Sans" w:cs="Google Sans" w:eastAsia="Google Sans" w:hAnsi="Google Sans"/>
          <w:color w:val="1f1f1f"/>
        </w:rPr>
        <w:drawing>
          <wp:inline distB="19050" distT="19050" distL="19050" distR="19050">
            <wp:extent cx="677704" cy="238737"/>
            <wp:effectExtent b="0" l="0" r="0" t="0"/>
            <wp:docPr id="109"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677704" cy="23873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775692" cy="238084"/>
            <wp:effectExtent b="0" l="0" r="0" t="0"/>
            <wp:docPr id="110" name="image59.png"/>
            <a:graphic>
              <a:graphicData uri="http://schemas.openxmlformats.org/drawingml/2006/picture">
                <pic:pic>
                  <pic:nvPicPr>
                    <pic:cNvPr id="0" name="image59.png"/>
                    <pic:cNvPicPr preferRelativeResize="0"/>
                  </pic:nvPicPr>
                  <pic:blipFill>
                    <a:blip r:embed="rId22"/>
                    <a:srcRect b="0" l="0" r="0" t="0"/>
                    <a:stretch>
                      <a:fillRect/>
                    </a:stretch>
                  </pic:blipFill>
                  <pic:spPr>
                    <a:xfrm>
                      <a:off x="0" y="0"/>
                      <a:ext cx="775692" cy="23808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commercial vehicle, making them economically unviable for the majority of emerging market fleet operators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DeepGrid's custom silicon design allows it to deliver a complete, dual-sensor retroactive kit at an estimated price point of </w:t>
      </w:r>
      <w:r w:rsidDel="00000000" w:rsidR="00000000" w:rsidRPr="00000000">
        <w:rPr>
          <w:rFonts w:ascii="Google Sans" w:cs="Google Sans" w:eastAsia="Google Sans" w:hAnsi="Google Sans"/>
          <w:color w:val="1f1f1f"/>
        </w:rPr>
        <w:drawing>
          <wp:inline distB="19050" distT="19050" distL="19050" distR="19050">
            <wp:extent cx="677704" cy="238737"/>
            <wp:effectExtent b="0" l="0" r="0" t="0"/>
            <wp:docPr id="111"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677704" cy="23873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830104" cy="238271"/>
            <wp:effectExtent b="0" l="0" r="0" t="0"/>
            <wp:docPr id="112"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830104" cy="2382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directly resolving the customer's financial constraints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Furthermore, because these fleets operate continuously in highly unstructured mixed traffic containing three-wheelers, pedestrians, and unmarked roadways, these operators require a system optimized to eliminate false positives in local road conditions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DeepGrid's custom 3D Systolic Tensor Cube microarchitecture is specifically engineered to run localized perception models at high framerates on mature silicon, providing superior real-world reliability in unstructured traffic compared to general-purpose Western computing boards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C: Sovereign Compliance and OEM Factory Line-Fit Embedding</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Option C targets domestic medium and heavy commercial vehicle manufacturers (OEMs) producing passenger buses (</w:t>
      </w:r>
      <w:r w:rsidDel="00000000" w:rsidR="00000000" w:rsidRPr="00000000">
        <w:rPr>
          <w:rFonts w:ascii="Google Sans" w:cs="Google Sans" w:eastAsia="Google Sans" w:hAnsi="Google Sans"/>
          <w:color w:val="1f1f1f"/>
        </w:rPr>
        <w:drawing>
          <wp:inline distB="19050" distT="19050" distL="19050" distR="19050">
            <wp:extent cx="634960" cy="244804"/>
            <wp:effectExtent b="0" l="0" r="0" t="0"/>
            <wp:docPr id="76" name="image51.png"/>
            <a:graphic>
              <a:graphicData uri="http://schemas.openxmlformats.org/drawingml/2006/picture">
                <pic:pic>
                  <pic:nvPicPr>
                    <pic:cNvPr id="0" name="image51.png"/>
                    <pic:cNvPicPr preferRelativeResize="0"/>
                  </pic:nvPicPr>
                  <pic:blipFill>
                    <a:blip r:embed="rId17"/>
                    <a:srcRect b="0" l="0" r="0" t="0"/>
                    <a:stretch>
                      <a:fillRect/>
                    </a:stretch>
                  </pic:blipFill>
                  <pic:spPr>
                    <a:xfrm>
                      <a:off x="0" y="0"/>
                      <a:ext cx="634960" cy="24480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freight trucks (</w:t>
      </w:r>
      <w:r w:rsidDel="00000000" w:rsidR="00000000" w:rsidRPr="00000000">
        <w:rPr>
          <w:rFonts w:ascii="Google Sans" w:cs="Google Sans" w:eastAsia="Google Sans" w:hAnsi="Google Sans"/>
          <w:color w:val="1f1f1f"/>
        </w:rPr>
        <w:drawing>
          <wp:inline distB="19050" distT="19050" distL="19050" distR="19050">
            <wp:extent cx="569476" cy="242976"/>
            <wp:effectExtent b="0" l="0" r="0" t="0"/>
            <wp:docPr id="77" name="image42.png"/>
            <a:graphic>
              <a:graphicData uri="http://schemas.openxmlformats.org/drawingml/2006/picture">
                <pic:pic>
                  <pic:nvPicPr>
                    <pic:cNvPr id="0" name="image42.png"/>
                    <pic:cNvPicPr preferRelativeResize="0"/>
                  </pic:nvPicPr>
                  <pic:blipFill>
                    <a:blip r:embed="rId16"/>
                    <a:srcRect b="0" l="0" r="0" t="0"/>
                    <a:stretch>
                      <a:fillRect/>
                    </a:stretch>
                  </pic:blipFill>
                  <pic:spPr>
                    <a:xfrm>
                      <a:off x="0" y="0"/>
                      <a:ext cx="569476" cy="24297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in India and emerging automotive assembly hubs in the GCC</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80" w:before="390"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shd w:fill="141414" w:val="clear"/>
        </w:rPr>
      </w:pPr>
      <w:r w:rsidDel="00000000" w:rsidR="00000000" w:rsidRPr="00000000">
        <w:rPr>
          <w:rFonts w:ascii="Google Sans" w:cs="Google Sans" w:eastAsia="Google Sans" w:hAnsi="Google Sans"/>
          <w:color w:val="1f1f1f"/>
          <w:shd w:fill="141414" w:val="clear"/>
          <w:rtl w:val="0"/>
        </w:rPr>
        <w:t xml:space="preserve">┌────────────────────────────────────────────────────────────────────────┐</w:t>
        <w:br w:type="textWrapping"/>
        <w:t xml:space="preserve">│                  ICP OPTION C: OEM FACTORY LINE-FIT                    │</w:t>
        <w:br w:type="textWrapping"/>
        <w:t xml:space="preserve">├────────────────────────────────────────────────────────────────────────┤</w:t>
        <w:br w:type="textWrapping"/>
        <w:t xml:space="preserve">│ • Targets: Domestic Indian and GCC commercial vehicle OEMs [cite: 1, 20].│</w:t>
        <w:br w:type="textWrapping"/>
        <w:t xml:space="preserve">│ • Primary Pain Point: Platform BOM inflation and supply vulnerabilities.│</w:t>
        <w:br w:type="textWrapping"/>
        <w:t xml:space="preserve">│ • Key Silicon Enabler: Single-die integration of 6 modular chiplets. │</w:t>
        <w:br w:type="textWrapping"/>
        <w:t xml:space="preserve">│ • Buying Behavior: Long-term validation; highly conservative; Tier-1 focus.│</w:t>
        <w:br w:type="textWrapping"/>
        <w:t xml:space="preserve">└────────────────────────────────────────────────────────────────────────┘</w:t>
        <w:br w:type="textWrapping"/>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These OEMs are highly conservative, structurally risk-averse buyers operating on long development horizons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Their buying decisions are governed by strict safety compliance, supply chain continuity, and platform-level bill of materials optimization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 primary pain point for these manufacturers is the rising cost of electronics and software complexity</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Integrating a suite of mandatory safety systems—including advanced emergency braking, blind spot monitoring, lane departure warnings, and driver drowsiness alerts—typically requires mounting multiple separate electronic control units (ECUs), sensor processors, and CAN gateways from different Tier-1 suppliers, which inflates the vehicle's manufacturing BOM and creates complex software integration bottlenecks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OEM buyers are highly receptive to DeepGrid's single-die, six-chiplet system-on-chip architecture, which consolidates AI processing (A100), radar DSP (R100), secure computing (D100), and vehicle gateway telematics (S100) onto a single silicon substrate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level of integration eliminates multi-chip board complexity, reduces the physical footprint within the vehicle's electrical cabinet, and lowers the vehicle's platform manufacturing cost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However, because these buyers will not purchase directly from an unproven, pre-revenue startup, they require DeepGrid to integrate with their preferred, established Tier-1 automotive component suppliers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These Tier-1 channel partners act as the interface, absorbing physical assembly, long-term product warranties, and vehicle integration liabilities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7">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Competitive Positioning Matrix of Autonomy and Silicon Competitors</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global autonomous vehicle and edge semiconductor markets contain both large, well-capitalized Western incumbents and specialized, nimble domestic Indian startups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Understanding the technical choices, pricing models, and strategic milestones of these competitors is essential to validating DeepGrid’s unique positioning for institutional venture capital investors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matrix below provides a detailed technical and commercial comparison of global and domestic players:</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Competitor</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Primary Target Segment</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Core Computing Platform</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Estimated System/Chip Cost</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Software &amp; Algorithmic Paradigm</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Current Commercial Traction &amp; Milestones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Aurora</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 24]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Long-haul interstate Class-8 trucking carriers and global mega-logistics providers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Dual NVIDIA DRIVE Thor platform using advanced Blackwell GPU architecture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643652" cy="204454"/>
                  <wp:effectExtent b="0" l="0" r="0" t="0"/>
                  <wp:docPr id="78" name="image47.png"/>
                  <a:graphic>
                    <a:graphicData uri="http://schemas.openxmlformats.org/drawingml/2006/picture">
                      <pic:pic>
                        <pic:nvPicPr>
                          <pic:cNvPr id="0" name="image47.png"/>
                          <pic:cNvPicPr preferRelativeResize="0"/>
                        </pic:nvPicPr>
                        <pic:blipFill>
                          <a:blip r:embed="rId25"/>
                          <a:srcRect b="0" l="0" r="0" t="0"/>
                          <a:stretch>
                            <a:fillRect/>
                          </a:stretch>
                        </pic:blipFill>
                        <pic:spPr>
                          <a:xfrm>
                            <a:off x="0" y="0"/>
                            <a:ext cx="643652" cy="20445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compute platform BOM</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Premium, high- TOPS virtual driver software package integrated via Tier-1 partnership with Continental</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Deep pre-commercial highway validation; targeting late 2024/2025 pilot launch</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Kodiak Robotics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 24]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US long-haul freight lanes and dual-use military defense fleets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Ambarella CV3-AD685 (</w:t>
            </w:r>
            <w:r w:rsidDel="00000000" w:rsidR="00000000" w:rsidRPr="00000000">
              <w:rPr>
                <w:rFonts w:ascii="Google Sans" w:cs="Google Sans" w:eastAsia="Google Sans" w:hAnsi="Google Sans"/>
                <w:color w:val="1f1f1f"/>
              </w:rPr>
              <w:drawing>
                <wp:inline distB="19050" distT="19050" distL="19050" distR="19050">
                  <wp:extent cx="370165" cy="239065"/>
                  <wp:effectExtent b="0" l="0" r="0" t="0"/>
                  <wp:docPr id="80"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70165" cy="239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edge AI vector processing chipsets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 premium hardware kit with modular SensorPods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"Kodiak Driver" software stack designed to run efficiently on low-latency vector processors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Active commercial freight trials in the US South; active US Department of Defense contracts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Gatik</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 24]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Fortune 500 grocery and retail enterprise middle-mile logistics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Heterogeneous Edge PCs utilizing NVIDIA DRIVE AGX Orin and industrial x86 CPUs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Moderate-to-High system BOM integrated into Isuzu medium box trucks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Highly constrained, map-based autonomous driving models optimized for repeatable routes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Continuous driverless operations for enterprise clients (Walmart, Kroger) in select regions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DeepWay</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 24]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Chinese domestic logistics fleets and industrial EV operators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High-compute neural processing units delivering </w:t>
            </w:r>
            <w:r w:rsidDel="00000000" w:rsidR="00000000" w:rsidRPr="00000000">
              <w:rPr>
                <w:rFonts w:ascii="Google Sans" w:cs="Google Sans" w:eastAsia="Google Sans" w:hAnsi="Google Sans"/>
                <w:color w:val="1f1f1f"/>
              </w:rPr>
              <w:drawing>
                <wp:inline distB="19050" distT="19050" distL="19050" distR="19050">
                  <wp:extent cx="958101" cy="205307"/>
                  <wp:effectExtent b="0" l="0" r="0" t="0"/>
                  <wp:docPr id="81" name="image60.png"/>
                  <a:graphic>
                    <a:graphicData uri="http://schemas.openxmlformats.org/drawingml/2006/picture">
                      <pic:pic>
                        <pic:nvPicPr>
                          <pic:cNvPr id="0" name="image60.png"/>
                          <pic:cNvPicPr preferRelativeResize="0"/>
                        </pic:nvPicPr>
                        <pic:blipFill>
                          <a:blip r:embed="rId26"/>
                          <a:srcRect b="0" l="0" r="0" t="0"/>
                          <a:stretch>
                            <a:fillRect/>
                          </a:stretch>
                        </pic:blipFill>
                        <pic:spPr>
                          <a:xfrm>
                            <a:off x="0" y="0"/>
                            <a:ext cx="958101" cy="205307"/>
                          </a:xfrm>
                          <a:prstGeom prst="rect"/>
                          <a:ln/>
                        </pic:spPr>
                      </pic:pic>
                    </a:graphicData>
                  </a:graphic>
                </wp:inline>
              </w:drawing>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High-cost integrated full-vehicle platform</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Deeply integrated L4 software co-designed with the truck's custom electrical architecture and Baidu Apollo</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"Xingtu" L4 smart electric trucks in active commercial operations; over </w:t>
            </w:r>
            <w:r w:rsidDel="00000000" w:rsidR="00000000" w:rsidRPr="00000000">
              <w:rPr>
                <w:rFonts w:ascii="Google Sans" w:cs="Google Sans" w:eastAsia="Google Sans" w:hAnsi="Google Sans"/>
                <w:color w:val="1f1f1f"/>
              </w:rPr>
              <w:drawing>
                <wp:inline distB="19050" distT="19050" distL="19050" distR="19050">
                  <wp:extent cx="504349" cy="206324"/>
                  <wp:effectExtent b="0" l="0" r="0" t="0"/>
                  <wp:docPr id="82" name="image43.png"/>
                  <a:graphic>
                    <a:graphicData uri="http://schemas.openxmlformats.org/drawingml/2006/picture">
                      <pic:pic>
                        <pic:nvPicPr>
                          <pic:cNvPr id="0" name="image43.png"/>
                          <pic:cNvPicPr preferRelativeResize="0"/>
                        </pic:nvPicPr>
                        <pic:blipFill>
                          <a:blip r:embed="rId27"/>
                          <a:srcRect b="0" l="0" r="0" t="0"/>
                          <a:stretch>
                            <a:fillRect/>
                          </a:stretch>
                        </pic:blipFill>
                        <pic:spPr>
                          <a:xfrm>
                            <a:off x="0" y="0"/>
                            <a:ext cx="504349" cy="20632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raised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Netrasemi</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22, 25, 26]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Indian surveillance, smart cities, and consumer automotive markets</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A2000 AI system-on-chip fabricated on TSMC's </w:t>
            </w:r>
            <w:r w:rsidDel="00000000" w:rsidR="00000000" w:rsidRPr="00000000">
              <w:rPr>
                <w:rFonts w:ascii="Google Sans" w:cs="Google Sans" w:eastAsia="Google Sans" w:hAnsi="Google Sans"/>
                <w:color w:val="1f1f1f"/>
              </w:rPr>
              <w:drawing>
                <wp:inline distB="19050" distT="19050" distL="19050" distR="19050">
                  <wp:extent cx="413028" cy="210410"/>
                  <wp:effectExtent b="0" l="0" r="0" t="0"/>
                  <wp:docPr id="83" name="image45.png"/>
                  <a:graphic>
                    <a:graphicData uri="http://schemas.openxmlformats.org/drawingml/2006/picture">
                      <pic:pic>
                        <pic:nvPicPr>
                          <pic:cNvPr id="0" name="image45.png"/>
                          <pic:cNvPicPr preferRelativeResize="0"/>
                        </pic:nvPicPr>
                        <pic:blipFill>
                          <a:blip r:embed="rId28"/>
                          <a:srcRect b="0" l="0" r="0" t="0"/>
                          <a:stretch>
                            <a:fillRect/>
                          </a:stretch>
                        </pic:blipFill>
                        <pic:spPr>
                          <a:xfrm>
                            <a:off x="0" y="0"/>
                            <a:ext cx="413028" cy="210410"/>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process node</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Estimated low-cost custom chipset target</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Graph stream parallel processing architecture tailored for real-time neural network acceleration</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Raised ₹125 Crore total, including ₹107 Crore Series A from Zoho and Unicorn India; running 3 OEM trials</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Mindgrove</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21, 22, 23]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Global IoT, industrial automation, edge visual analytics, and smart utilities</w:t>
            </w:r>
            <w:r w:rsidDel="00000000" w:rsidR="00000000" w:rsidRPr="00000000">
              <w:rPr>
                <w:rFonts w:ascii="Google Sans" w:cs="Google Sans" w:eastAsia="Google Sans" w:hAnsi="Google Sans"/>
                <w:color w:val="444746"/>
                <w:sz w:val="24"/>
                <w:szCs w:val="24"/>
                <w:vertAlign w:val="superscript"/>
                <w:rtl w:val="0"/>
              </w:rPr>
              <w:t xml:space="preserve">21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667464" cy="207144"/>
                  <wp:effectExtent b="0" l="0" r="0" t="0"/>
                  <wp:docPr id="84" name="image46.png"/>
                  <a:graphic>
                    <a:graphicData uri="http://schemas.openxmlformats.org/drawingml/2006/picture">
                      <pic:pic>
                        <pic:nvPicPr>
                          <pic:cNvPr id="0" name="image46.png"/>
                          <pic:cNvPicPr preferRelativeResize="0"/>
                        </pic:nvPicPr>
                        <pic:blipFill>
                          <a:blip r:embed="rId29"/>
                          <a:srcRect b="0" l="0" r="0" t="0"/>
                          <a:stretch>
                            <a:fillRect/>
                          </a:stretch>
                        </pic:blipFill>
                        <pic:spPr>
                          <a:xfrm>
                            <a:off x="0" y="0"/>
                            <a:ext cx="667464" cy="20714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secure RISC-V microcontroller fabricated on TSMC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8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316825" cy="208641"/>
                  <wp:effectExtent b="0" l="0" r="0" t="0"/>
                  <wp:docPr id="86" name="image44.png"/>
                  <a:graphic>
                    <a:graphicData uri="http://schemas.openxmlformats.org/drawingml/2006/picture">
                      <pic:pic>
                        <pic:nvPicPr>
                          <pic:cNvPr id="0" name="image44.png"/>
                          <pic:cNvPicPr preferRelativeResize="0"/>
                        </pic:nvPicPr>
                        <pic:blipFill>
                          <a:blip r:embed="rId30"/>
                          <a:srcRect b="0" l="0" r="0" t="0"/>
                          <a:stretch>
                            <a:fillRect/>
                          </a:stretch>
                        </pic:blipFill>
                        <pic:spPr>
                          <a:xfrm>
                            <a:off x="0" y="0"/>
                            <a:ext cx="316825" cy="208641"/>
                          </a:xfrm>
                          <a:prstGeom prst="rect"/>
                          <a:ln/>
                        </pic:spPr>
                      </pic:pic>
                    </a:graphicData>
                  </a:graphic>
                </wp:inline>
              </w:drawing>
            </w:r>
            <w:r w:rsidDel="00000000" w:rsidR="00000000" w:rsidRPr="00000000">
              <w:rPr>
                <w:rFonts w:ascii="Google Sans" w:cs="Google Sans" w:eastAsia="Google Sans" w:hAnsi="Google Sans"/>
                <w:b w:val="1"/>
                <w:bCs w:val="1"/>
                <w:color w:val="1f1f1f"/>
                <w:rtl w:val="0"/>
              </w:rPr>
              <w:t xml:space="preserve"> lower cost</w:t>
            </w:r>
            <w:r w:rsidDel="00000000" w:rsidR="00000000" w:rsidRPr="00000000">
              <w:rPr>
                <w:rFonts w:ascii="Google Sans" w:cs="Google Sans" w:eastAsia="Google Sans" w:hAnsi="Google Sans"/>
                <w:color w:val="1f1f1f"/>
                <w:rtl w:val="0"/>
              </w:rPr>
              <w:t xml:space="preserve"> than global microcontroller equivalents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Software-driven co-design that accelerates only specific non-software workloads via hardware</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Raised </w:t>
            </w:r>
            <w:r w:rsidDel="00000000" w:rsidR="00000000" w:rsidRPr="00000000">
              <w:rPr>
                <w:rFonts w:ascii="Google Sans" w:cs="Google Sans" w:eastAsia="Google Sans" w:hAnsi="Google Sans"/>
                <w:color w:val="1f1f1f"/>
              </w:rPr>
              <w:drawing>
                <wp:inline distB="19050" distT="19050" distL="19050" distR="19050">
                  <wp:extent cx="552331" cy="207124"/>
                  <wp:effectExtent b="0" l="0" r="0" t="0"/>
                  <wp:docPr id="20"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552331" cy="20712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total; signed commercial agreements with Bosch and Pinetics; received MeitY DLI approval</w:t>
            </w:r>
            <w:r w:rsidDel="00000000" w:rsidR="00000000" w:rsidRPr="00000000">
              <w:rPr>
                <w:rFonts w:ascii="Google Sans" w:cs="Google Sans" w:eastAsia="Google Sans" w:hAnsi="Google Sans"/>
                <w:color w:val="444746"/>
                <w:sz w:val="24"/>
                <w:szCs w:val="24"/>
                <w:vertAlign w:val="superscript"/>
                <w:rtl w:val="0"/>
              </w:rPr>
              <w:t xml:space="preserve">21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Agnit</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12, 22, 28, 29]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defense radar, 5G telecom networks, and high-power electronic grids</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Indigenous Gallium Nitride (GaN) semiconductor devices grown on Sapphire and SiC</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 unit performance value; GaN accounts for </w:t>
            </w:r>
            <w:r w:rsidDel="00000000" w:rsidR="00000000" w:rsidRPr="00000000">
              <w:rPr>
                <w:rFonts w:ascii="Google Sans" w:cs="Google Sans" w:eastAsia="Google Sans" w:hAnsi="Google Sans"/>
                <w:color w:val="1f1f1f"/>
              </w:rPr>
              <w:drawing>
                <wp:inline distB="19050" distT="19050" distL="19050" distR="19050">
                  <wp:extent cx="576143" cy="207412"/>
                  <wp:effectExtent b="0" l="0" r="0" t="0"/>
                  <wp:docPr id="22" name="image48.png"/>
                  <a:graphic>
                    <a:graphicData uri="http://schemas.openxmlformats.org/drawingml/2006/picture">
                      <pic:pic>
                        <pic:nvPicPr>
                          <pic:cNvPr id="0" name="image48.png"/>
                          <pic:cNvPicPr preferRelativeResize="0"/>
                        </pic:nvPicPr>
                        <pic:blipFill>
                          <a:blip r:embed="rId32"/>
                          <a:srcRect b="0" l="0" r="0" t="0"/>
                          <a:stretch>
                            <a:fillRect/>
                          </a:stretch>
                        </pic:blipFill>
                        <pic:spPr>
                          <a:xfrm>
                            <a:off x="0" y="0"/>
                            <a:ext cx="576143" cy="20741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of radar system cost</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Vertically integrated material design, physical epitaxy, and RF subsystem development</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Closed </w:t>
            </w:r>
            <w:r w:rsidDel="00000000" w:rsidR="00000000" w:rsidRPr="00000000">
              <w:rPr>
                <w:rFonts w:ascii="Google Sans" w:cs="Google Sans" w:eastAsia="Google Sans" w:hAnsi="Google Sans"/>
                <w:color w:val="1f1f1f"/>
              </w:rPr>
              <w:drawing>
                <wp:inline distB="19050" distT="19050" distL="19050" distR="19050">
                  <wp:extent cx="465892" cy="206214"/>
                  <wp:effectExtent b="0" l="0" r="0" t="0"/>
                  <wp:docPr id="23" name="image15.png"/>
                  <a:graphic>
                    <a:graphicData uri="http://schemas.openxmlformats.org/drawingml/2006/picture">
                      <pic:pic>
                        <pic:nvPicPr>
                          <pic:cNvPr id="0" name="image15.png"/>
                          <pic:cNvPicPr preferRelativeResize="0"/>
                        </pic:nvPicPr>
                        <pic:blipFill>
                          <a:blip r:embed="rId33"/>
                          <a:srcRect b="0" l="0" r="0" t="0"/>
                          <a:stretch>
                            <a:fillRect/>
                          </a:stretch>
                        </pic:blipFill>
                        <pic:spPr>
                          <a:xfrm>
                            <a:off x="0" y="0"/>
                            <a:ext cx="465892" cy="2062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seed extension in March 2026 led by Shastra VC; 2 active pilots on track for volume production</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Minus Zero</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13, 30, 31]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Industrial campuses, seaports, and mixed-traffic urban ADAS in emerging markets</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Camera-only visual perception suite running on standardized edge platforms</w:t>
            </w:r>
            <w:r w:rsidDel="00000000" w:rsidR="00000000" w:rsidRPr="00000000">
              <w:rPr>
                <w:rFonts w:ascii="Google Sans" w:cs="Google Sans" w:eastAsia="Google Sans" w:hAnsi="Google Sans"/>
                <w:color w:val="444746"/>
                <w:sz w:val="24"/>
                <w:szCs w:val="24"/>
                <w:vertAlign w:val="superscript"/>
                <w:rtl w:val="0"/>
              </w:rPr>
              <w:t xml:space="preserve">30</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Affordability-driven vision-first system, eliminating expensive LiDAR</w:t>
            </w:r>
            <w:r w:rsidDel="00000000" w:rsidR="00000000" w:rsidRPr="00000000">
              <w:rPr>
                <w:rFonts w:ascii="Google Sans" w:cs="Google Sans" w:eastAsia="Google Sans" w:hAnsi="Google Sans"/>
                <w:color w:val="444746"/>
                <w:sz w:val="24"/>
                <w:szCs w:val="24"/>
                <w:vertAlign w:val="superscript"/>
                <w:rtl w:val="0"/>
              </w:rPr>
              <w:t xml:space="preserve">30</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"Nature Inspired AI" (NIA) low-power processing and "True Vision Autonomy" (TVA)</w:t>
            </w:r>
            <w:r w:rsidDel="00000000" w:rsidR="00000000" w:rsidRPr="00000000">
              <w:rPr>
                <w:rFonts w:ascii="Google Sans" w:cs="Google Sans" w:eastAsia="Google Sans" w:hAnsi="Google Sans"/>
                <w:color w:val="444746"/>
                <w:sz w:val="24"/>
                <w:szCs w:val="24"/>
                <w:vertAlign w:val="superscript"/>
                <w:rtl w:val="0"/>
              </w:rPr>
              <w:t xml:space="preserve">30</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Raised </w:t>
            </w:r>
            <w:r w:rsidDel="00000000" w:rsidR="00000000" w:rsidRPr="00000000">
              <w:rPr>
                <w:rFonts w:ascii="Google Sans" w:cs="Google Sans" w:eastAsia="Google Sans" w:hAnsi="Google Sans"/>
                <w:color w:val="1f1f1f"/>
              </w:rPr>
              <w:drawing>
                <wp:inline distB="19050" distT="19050" distL="19050" distR="19050">
                  <wp:extent cx="465892" cy="206214"/>
                  <wp:effectExtent b="0" l="0" r="0" t="0"/>
                  <wp:docPr id="24" name="image14.png"/>
                  <a:graphic>
                    <a:graphicData uri="http://schemas.openxmlformats.org/drawingml/2006/picture">
                      <pic:pic>
                        <pic:nvPicPr>
                          <pic:cNvPr id="0" name="image14.png"/>
                          <pic:cNvPicPr preferRelativeResize="0"/>
                        </pic:nvPicPr>
                        <pic:blipFill>
                          <a:blip r:embed="rId34"/>
                          <a:srcRect b="0" l="0" r="0" t="0"/>
                          <a:stretch>
                            <a:fillRect/>
                          </a:stretch>
                        </pic:blipFill>
                        <pic:spPr>
                          <a:xfrm>
                            <a:off x="0" y="0"/>
                            <a:ext cx="465892" cy="2062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seed; unveiled L4 "zPod" concept; active development partnership with Ashok Leyland</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Swaayatt Robots</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18, 34, 35]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High-speed unstructured autonomous driving and off-highway military robotics</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Vision-only camera array running on standard edge-computing boards</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Affordability-driven, eliminating dense high-definition 3D mapping</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Planning algorithms powered by unsupervised and deep reinforcement learning</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Raised </w:t>
            </w:r>
            <w:r w:rsidDel="00000000" w:rsidR="00000000" w:rsidRPr="00000000">
              <w:rPr>
                <w:rFonts w:ascii="Google Sans" w:cs="Google Sans" w:eastAsia="Google Sans" w:hAnsi="Google Sans"/>
                <w:color w:val="1f1f1f"/>
              </w:rPr>
              <w:drawing>
                <wp:inline distB="19050" distT="19050" distL="19050" distR="19050">
                  <wp:extent cx="331470" cy="208132"/>
                  <wp:effectExtent b="0" l="0" r="0" t="0"/>
                  <wp:docPr id="25" name="image27.png"/>
                  <a:graphic>
                    <a:graphicData uri="http://schemas.openxmlformats.org/drawingml/2006/picture">
                      <pic:pic>
                        <pic:nvPicPr>
                          <pic:cNvPr id="0" name="image27.png"/>
                          <pic:cNvPicPr preferRelativeResize="0"/>
                        </pic:nvPicPr>
                        <pic:blipFill>
                          <a:blip r:embed="rId35"/>
                          <a:srcRect b="0" l="0" r="0" t="0"/>
                          <a:stretch>
                            <a:fillRect/>
                          </a:stretch>
                        </pic:blipFill>
                        <pic:spPr>
                          <a:xfrm>
                            <a:off x="0" y="0"/>
                            <a:ext cx="331470" cy="20813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post-seed in June 2024 at a </w:t>
            </w:r>
            <w:r w:rsidDel="00000000" w:rsidR="00000000" w:rsidRPr="00000000">
              <w:rPr>
                <w:rFonts w:ascii="Google Sans" w:cs="Google Sans" w:eastAsia="Google Sans" w:hAnsi="Google Sans"/>
                <w:color w:val="1f1f1f"/>
              </w:rPr>
              <w:drawing>
                <wp:inline distB="19050" distT="19050" distL="19050" distR="19050">
                  <wp:extent cx="504349" cy="206324"/>
                  <wp:effectExtent b="0" l="0" r="0" t="0"/>
                  <wp:docPr id="26" name="image17.png"/>
                  <a:graphic>
                    <a:graphicData uri="http://schemas.openxmlformats.org/drawingml/2006/picture">
                      <pic:pic>
                        <pic:nvPicPr>
                          <pic:cNvPr id="0" name="image17.png"/>
                          <pic:cNvPicPr preferRelativeResize="0"/>
                        </pic:nvPicPr>
                        <pic:blipFill>
                          <a:blip r:embed="rId36"/>
                          <a:srcRect b="0" l="0" r="0" t="0"/>
                          <a:stretch>
                            <a:fillRect/>
                          </a:stretch>
                        </pic:blipFill>
                        <pic:spPr>
                          <a:xfrm>
                            <a:off x="0" y="0"/>
                            <a:ext cx="504349" cy="20632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valuation; demonstrated high-speed map-free navigation</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RoshAI</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 36, 37]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Heavy industrial sectors (mining, ports) and commercial ADAS in India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Hardware-agnostic algorithmic stack integrated into vehicle controllers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Estimated moderate-to-high soft-hardware solution packaging</w:t>
            </w:r>
            <w:r w:rsidDel="00000000" w:rsidR="00000000" w:rsidRPr="00000000">
              <w:rPr>
                <w:rFonts w:ascii="Google Sans" w:cs="Google Sans" w:eastAsia="Google Sans" w:hAnsi="Google Sans"/>
                <w:color w:val="444746"/>
                <w:sz w:val="24"/>
                <w:szCs w:val="24"/>
                <w:vertAlign w:val="superscript"/>
                <w:rtl w:val="0"/>
              </w:rPr>
              <w:t xml:space="preserve">36</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Proprietary localized navigation, localization, planning, and fleet control systems</w:t>
            </w:r>
            <w:r w:rsidDel="00000000" w:rsidR="00000000" w:rsidRPr="00000000">
              <w:rPr>
                <w:rFonts w:ascii="Google Sans" w:cs="Google Sans" w:eastAsia="Google Sans" w:hAnsi="Google Sans"/>
                <w:color w:val="444746"/>
                <w:sz w:val="24"/>
                <w:szCs w:val="24"/>
                <w:vertAlign w:val="superscript"/>
                <w:rtl w:val="0"/>
              </w:rPr>
              <w:t xml:space="preserve">37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Seed funding raised in April 2026; active trials and deployments in heavy industrial port and mining yards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DeepGrid Semi</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Indian and GCC commercial vehicle fleets, tactical defense, and off-highway AGVs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Custom DGrid Alpha SoC fabricated on TSMC mature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27"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HPC+ process node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402907" cy="240195"/>
                  <wp:effectExtent b="0" l="0" r="0" t="0"/>
                  <wp:docPr id="28" name="image22.png"/>
                  <a:graphic>
                    <a:graphicData uri="http://schemas.openxmlformats.org/drawingml/2006/picture">
                      <pic:pic>
                        <pic:nvPicPr>
                          <pic:cNvPr id="0" name="image22.png"/>
                          <pic:cNvPicPr preferRelativeResize="0"/>
                        </pic:nvPicPr>
                        <pic:blipFill>
                          <a:blip r:embed="rId37"/>
                          <a:srcRect b="0" l="0" r="0" t="0"/>
                          <a:stretch>
                            <a:fillRect/>
                          </a:stretch>
                        </pic:blipFill>
                        <pic:spPr>
                          <a:xfrm>
                            <a:off x="0" y="0"/>
                            <a:ext cx="402907" cy="240195"/>
                          </a:xfrm>
                          <a:prstGeom prst="rect"/>
                          <a:ln/>
                        </pic:spPr>
                      </pic:pic>
                    </a:graphicData>
                  </a:graphic>
                </wp:inline>
              </w:drawing>
            </w:r>
            <w:r w:rsidDel="00000000" w:rsidR="00000000" w:rsidRPr="00000000">
              <w:rPr>
                <w:rFonts w:ascii="Google Sans" w:cs="Google Sans" w:eastAsia="Google Sans" w:hAnsi="Google Sans"/>
                <w:b w:val="1"/>
                <w:bCs w:val="1"/>
                <w:color w:val="1f1f1f"/>
                <w:rtl w:val="0"/>
              </w:rPr>
              <w:t xml:space="preserve"> die cost;</w:t>
            </w:r>
            <w:r w:rsidDel="00000000" w:rsidR="00000000" w:rsidRPr="00000000">
              <w:rPr>
                <w:rFonts w:ascii="Google Sans" w:cs="Google Sans" w:eastAsia="Google Sans" w:hAnsi="Google Sans"/>
                <w:color w:val="1f1f1f"/>
                <w:rtl w:val="0"/>
              </w:rPr>
              <w:t xml:space="preserve"> projected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29"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complete board-level BOM</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933569" cy="237218"/>
                  <wp:effectExtent b="0" l="0" r="0" t="0"/>
                  <wp:docPr id="30"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933569" cy="23721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3D Systolic Tensor Cube (</w:t>
            </w:r>
            <w:r w:rsidDel="00000000" w:rsidR="00000000" w:rsidRPr="00000000">
              <w:rPr>
                <w:rFonts w:ascii="Google Sans" w:cs="Google Sans" w:eastAsia="Google Sans" w:hAnsi="Google Sans"/>
                <w:color w:val="1f1f1f"/>
              </w:rPr>
              <w:drawing>
                <wp:inline distB="19050" distT="19050" distL="19050" distR="19050">
                  <wp:extent cx="681752" cy="204526"/>
                  <wp:effectExtent b="0" l="0" r="0" t="0"/>
                  <wp:docPr id="1" name="image40.png"/>
                  <a:graphic>
                    <a:graphicData uri="http://schemas.openxmlformats.org/drawingml/2006/picture">
                      <pic:pic>
                        <pic:nvPicPr>
                          <pic:cNvPr id="0" name="image40.png"/>
                          <pic:cNvPicPr preferRelativeResize="0"/>
                        </pic:nvPicPr>
                        <pic:blipFill>
                          <a:blip r:embed="rId38"/>
                          <a:srcRect b="0" l="0" r="0" t="0"/>
                          <a:stretch>
                            <a:fillRect/>
                          </a:stretch>
                        </pic:blipFill>
                        <pic:spPr>
                          <a:xfrm>
                            <a:off x="0" y="0"/>
                            <a:ext cx="681752" cy="20452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with integrated Radar and Secure RISC-V enclaves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FPGA prototype validated; generated </w:t>
            </w:r>
            <w:r w:rsidDel="00000000" w:rsidR="00000000" w:rsidRPr="00000000">
              <w:rPr>
                <w:rFonts w:ascii="Google Sans" w:cs="Google Sans" w:eastAsia="Google Sans" w:hAnsi="Google Sans"/>
                <w:color w:val="1f1f1f"/>
              </w:rPr>
              <w:drawing>
                <wp:inline distB="19050" distT="19050" distL="19050" distR="19050">
                  <wp:extent cx="724972" cy="236570"/>
                  <wp:effectExtent b="0" l="0" r="0" t="0"/>
                  <wp:docPr id="2" name="image1.png"/>
                  <a:graphic>
                    <a:graphicData uri="http://schemas.openxmlformats.org/drawingml/2006/picture">
                      <pic:pic>
                        <pic:nvPicPr>
                          <pic:cNvPr id="0" name="image1.png"/>
                          <pic:cNvPicPr preferRelativeResize="0"/>
                        </pic:nvPicPr>
                        <pic:blipFill>
                          <a:blip r:embed="rId39"/>
                          <a:srcRect b="0" l="0" r="0" t="0"/>
                          <a:stretch>
                            <a:fillRect/>
                          </a:stretch>
                        </pic:blipFill>
                        <pic:spPr>
                          <a:xfrm>
                            <a:off x="0" y="0"/>
                            <a:ext cx="724972" cy="236570"/>
                          </a:xfrm>
                          <a:prstGeom prst="rect"/>
                          <a:ln/>
                        </pic:spPr>
                      </pic:pic>
                    </a:graphicData>
                  </a:graphic>
                </wp:inline>
              </w:drawing>
            </w:r>
            <w:r w:rsidDel="00000000" w:rsidR="00000000" w:rsidRPr="00000000">
              <w:rPr>
                <w:rFonts w:ascii="Google Sans" w:cs="Google Sans" w:eastAsia="Google Sans" w:hAnsi="Google Sans"/>
                <w:color w:val="1f1f1f"/>
                <w:rtl w:val="0"/>
              </w:rPr>
              <w:t xml:space="preserve"> in tactical defense revenue; raising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3"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Pre-Series 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bl>
    <w:p w:rsidR="00000000" w:rsidDel="00000000" w:rsidP="00000000" w:rsidRDefault="00000000" w:rsidRPr="00000000" w14:paraId="0000009E">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Tailored Go-To-Market Strategies Mapped to ICP Options</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maximize commercial execution while managing capital limitations, DeepGrid must implement distinct, sequentially structured GTM roadmaps specifically designed around the buying habits of each prioritized ICP option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80" w:before="390"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shd w:fill="141414" w:val="clear"/>
        </w:rPr>
      </w:pPr>
      <w:r w:rsidDel="00000000" w:rsidR="00000000" w:rsidRPr="00000000">
        <w:rPr>
          <w:rFonts w:ascii="Google Sans" w:cs="Google Sans" w:eastAsia="Google Sans" w:hAnsi="Google Sans"/>
          <w:color w:val="1f1f1f"/>
          <w:shd w:fill="141414" w:val="clear"/>
          <w:rtl w:val="0"/>
        </w:rPr>
        <w:t xml:space="preserve">┌────────────────────────────────────────────────────────────────────────┐</w:t>
        <w:br w:type="textWrapping"/>
        <w:t xml:space="preserve">│               ICP OPTIONS MAPPED TO GTM STRATEGY PHASING               │</w:t>
        <w:br w:type="textWrapping"/>
        <w:t xml:space="preserve">├────────────────────────────────────────────────────────────────────────┤</w:t>
        <w:br w:type="textWrapping"/>
        <w:t xml:space="preserve">│                                                                        │</w:t>
        <w:br w:type="textWrapping"/>
        <w:t xml:space="preserve">│  [ OPTION A: TACTICAL WEDGE ] ──────────────────────► Months 0 - 6     │</w:t>
        <w:br w:type="textWrapping"/>
        <w:t xml:space="preserve">│  • Deploy FPGA-based prototypes directly to defense UGVs &amp; port AGVs   │</w:t>
        <w:br w:type="textWrapping"/>
        <w:t xml:space="preserve">│  • Generate immediate non-dilutive contract cash-flow                  │</w:t>
        <w:br w:type="textWrapping"/>
        <w:t xml:space="preserve">│                                                                        │</w:t>
        <w:br w:type="textWrapping"/>
        <w:t xml:space="preserve">│  [ OPTION B: AFTERMARKET RETROFIT ] ────────────────► Months 6 - 18    │</w:t>
        <w:br w:type="textWrapping"/>
        <w:t xml:space="preserve">│  • Leverage Indian DLI Scheme for TSMC 28nm MPW tape-out               │</w:t>
        <w:br w:type="textWrapping"/>
        <w:t xml:space="preserve">│  • Distribute low-cost homologated safety kits to private N2/N3 fleets │</w:t>
        <w:br w:type="textWrapping"/>
        <w:t xml:space="preserve">│                                                                        │</w:t>
        <w:br w:type="textWrapping"/>
        <w:t xml:space="preserve">│  [ OPTION C: TIER-1 / OEM INTEGRATION ] ────────────► Months 18 - 36   │</w:t>
        <w:br w:type="textWrapping"/>
        <w:t xml:space="preserve">│  • Partner with domestic Tier-1 auto-component suppliers               │</w:t>
        <w:br w:type="textWrapping"/>
        <w:t xml:space="preserve">│  • Design standard factory line-fit ASIC ECUs directly to major OEMs  │</w:t>
        <w:br w:type="textWrapping"/>
        <w:t xml:space="preserve">└────────────────────────────────────────────────────────────────────────┘</w:t>
        <w:br w:type="textWrapping"/>
      </w:r>
    </w:p>
    <w:p w:rsidR="00000000" w:rsidDel="00000000" w:rsidP="00000000" w:rsidRDefault="00000000" w:rsidRPr="00000000" w14:paraId="000000A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GTM Strategy for ICP Option A: The Tactical and Off-Highway Wedge (Months 0–6)</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near-term objective of Option A is to generate immediate cash flow, accumulate real-world operational testing metrics, and establish early credibility with venture capitalists without waiting for physical ASIC fabrication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6">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Direct FPGA Field Deployment:</w:t>
      </w:r>
      <w:r w:rsidDel="00000000" w:rsidR="00000000" w:rsidRPr="00000000">
        <w:rPr>
          <w:rFonts w:ascii="Google Sans" w:cs="Google Sans" w:eastAsia="Google Sans" w:hAnsi="Google Sans"/>
          <w:color w:val="1f1f1f"/>
          <w:rtl w:val="0"/>
        </w:rPr>
        <w:t xml:space="preserve"> DeepGrid must bypass automotive OEM validation queues by deploying its fully functional, FPGA-based development boards directly into constrained off-highway environments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These platforms run the core </w:t>
      </w:r>
      <w:r w:rsidDel="00000000" w:rsidR="00000000" w:rsidRPr="00000000">
        <w:rPr>
          <w:rFonts w:ascii="Google Sans" w:cs="Google Sans" w:eastAsia="Google Sans" w:hAnsi="Google Sans"/>
          <w:color w:val="1f1f1f"/>
        </w:rPr>
        <w:drawing>
          <wp:inline distB="19050" distT="19050" distL="19050" distR="19050">
            <wp:extent cx="933569" cy="237218"/>
            <wp:effectExtent b="0" l="0" r="0" t="0"/>
            <wp:docPr id="4"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933569" cy="23721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3D Systolic Tensor Cube perception models at standard framerates, proving algorithmic efficacy in the real world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7">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Tactical Defense Procurement:</w:t>
      </w:r>
      <w:r w:rsidDel="00000000" w:rsidR="00000000" w:rsidRPr="00000000">
        <w:rPr>
          <w:rFonts w:ascii="Google Sans" w:cs="Google Sans" w:eastAsia="Google Sans" w:hAnsi="Google Sans"/>
          <w:color w:val="1f1f1f"/>
          <w:rtl w:val="0"/>
        </w:rPr>
        <w:t xml:space="preserve"> The startup must actively target the Indian defense establishment's tactical UGV, drone, and border security modernization initiatives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integrating the lockstep RISC-V secure enclave (D100) directly on the FPGA board, DeepGrid can bid on sovereign-compliance research and development contracts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wedge has already demonstrated commercial viability, securing </w:t>
      </w:r>
      <w:r w:rsidDel="00000000" w:rsidR="00000000" w:rsidRPr="00000000">
        <w:rPr>
          <w:rFonts w:ascii="Google Sans" w:cs="Google Sans" w:eastAsia="Google Sans" w:hAnsi="Google Sans"/>
          <w:color w:val="1f1f1f"/>
        </w:rPr>
        <w:drawing>
          <wp:inline distB="19050" distT="19050" distL="19050" distR="19050">
            <wp:extent cx="724972" cy="236570"/>
            <wp:effectExtent b="0" l="0" r="0" t="0"/>
            <wp:docPr id="5" name="image1.png"/>
            <a:graphic>
              <a:graphicData uri="http://schemas.openxmlformats.org/drawingml/2006/picture">
                <pic:pic>
                  <pic:nvPicPr>
                    <pic:cNvPr id="0" name="image1.png"/>
                    <pic:cNvPicPr preferRelativeResize="0"/>
                  </pic:nvPicPr>
                  <pic:blipFill>
                    <a:blip r:embed="rId39"/>
                    <a:srcRect b="0" l="0" r="0" t="0"/>
                    <a:stretch>
                      <a:fillRect/>
                    </a:stretch>
                  </pic:blipFill>
                  <pic:spPr>
                    <a:xfrm>
                      <a:off x="0" y="0"/>
                      <a:ext cx="724972" cy="236570"/>
                    </a:xfrm>
                    <a:prstGeom prst="rect"/>
                    <a:ln/>
                  </pic:spPr>
                </pic:pic>
              </a:graphicData>
            </a:graphic>
          </wp:inline>
        </w:drawing>
      </w:r>
      <w:r w:rsidDel="00000000" w:rsidR="00000000" w:rsidRPr="00000000">
        <w:rPr>
          <w:rFonts w:ascii="Google Sans" w:cs="Google Sans" w:eastAsia="Google Sans" w:hAnsi="Google Sans"/>
          <w:color w:val="1f1f1f"/>
          <w:rtl w:val="0"/>
        </w:rPr>
        <w:t xml:space="preserve"> in defense contract revenue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8">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Constrained Campus AGV Pilots:</w:t>
      </w:r>
      <w:r w:rsidDel="00000000" w:rsidR="00000000" w:rsidRPr="00000000">
        <w:rPr>
          <w:rFonts w:ascii="Google Sans" w:cs="Google Sans" w:eastAsia="Google Sans" w:hAnsi="Google Sans"/>
          <w:color w:val="1f1f1f"/>
          <w:rtl w:val="0"/>
        </w:rPr>
        <w:t xml:space="preserve"> DeepGrid must implement proof-of-concept deployments with regional seaports and industrial campuses to automate heavy cargo-handling equipment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These closed environments operate under low speed limits and possess fewer chaotic traffic variables than public roads, allowing the startup to refine its sensor fusion algorithms (radar DSP plus vision processing) in real-time operating conditions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9">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Pre-Series A VC Narrative:</w:t>
      </w:r>
      <w:r w:rsidDel="00000000" w:rsidR="00000000" w:rsidRPr="00000000">
        <w:rPr>
          <w:rFonts w:ascii="Google Sans" w:cs="Google Sans" w:eastAsia="Google Sans" w:hAnsi="Google Sans"/>
          <w:color w:val="1f1f1f"/>
          <w:rtl w:val="0"/>
        </w:rPr>
        <w:t xml:space="preserve"> The primary strategic benefit of these early deployments is the accumulation of real-world operational data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DeepGrid can present these active defense and port AGV pilots as working proof-of-concepts to close its requested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6"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82573" cy="237628"/>
            <wp:effectExtent b="0" l="0" r="0" t="0"/>
            <wp:docPr id="7"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82573" cy="23762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Pre-Series A round, demonstrating to investors that its core processor architecture works in real-world tactical environments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GTM Strategy for ICP Option B: Phased Custom Silicon and Aftermarket Retrofit Volume (Months 6–18)</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Upon securing the Pre-Series A capital, DeepGrid must initiate the transition to custom silicon while executing a high-volume aftermarket commercial retrofit campaign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C">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Sovereign Subsidy Leverage via MeitY DLI Scheme:</w:t>
      </w:r>
      <w:r w:rsidDel="00000000" w:rsidR="00000000" w:rsidRPr="00000000">
        <w:rPr>
          <w:rFonts w:ascii="Google Sans" w:cs="Google Sans" w:eastAsia="Google Sans" w:hAnsi="Google Sans"/>
          <w:color w:val="1f1f1f"/>
          <w:rtl w:val="0"/>
        </w:rPr>
        <w:t xml:space="preserve"> To maximize capital efficiency, DeepGrid must apply to the Design Linked Incentive (DLI) Scheme under the India Semiconductor Mission (ISM) implemented by MeitY</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 The DLI scheme offers crucial financial support across the semiconductor design and deployment lifecycle</w:t>
      </w:r>
      <w:r w:rsidDel="00000000" w:rsidR="00000000" w:rsidRPr="00000000">
        <w:rPr>
          <w:rFonts w:ascii="Google Sans" w:cs="Google Sans" w:eastAsia="Google Sans" w:hAnsi="Google Sans"/>
          <w:color w:val="444746"/>
          <w:sz w:val="24"/>
          <w:szCs w:val="24"/>
          <w:vertAlign w:val="superscript"/>
          <w:rtl w:val="0"/>
        </w:rPr>
        <w:t xml:space="preserve">40</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D">
      <w:pPr>
        <w:numPr>
          <w:ilvl w:val="1"/>
          <w:numId w:val="4"/>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Product Design Linked Incentive (PDLI):</w:t>
      </w:r>
      <w:r w:rsidDel="00000000" w:rsidR="00000000" w:rsidRPr="00000000">
        <w:rPr>
          <w:rFonts w:ascii="Google Sans" w:cs="Google Sans" w:eastAsia="Google Sans" w:hAnsi="Google Sans"/>
          <w:color w:val="1f1f1f"/>
          <w:rtl w:val="0"/>
        </w:rPr>
        <w:t xml:space="preserve"> Offers up to </w:t>
      </w:r>
      <w:r w:rsidDel="00000000" w:rsidR="00000000" w:rsidRPr="00000000">
        <w:rPr>
          <w:rFonts w:ascii="Google Sans" w:cs="Google Sans" w:eastAsia="Google Sans" w:hAnsi="Google Sans"/>
          <w:color w:val="1f1f1f"/>
        </w:rPr>
        <w:drawing>
          <wp:inline distB="19050" distT="19050" distL="19050" distR="19050">
            <wp:extent cx="359212" cy="236927"/>
            <wp:effectExtent b="0" l="0" r="0" t="0"/>
            <wp:docPr id="8" name="image2.png"/>
            <a:graphic>
              <a:graphicData uri="http://schemas.openxmlformats.org/drawingml/2006/picture">
                <pic:pic>
                  <pic:nvPicPr>
                    <pic:cNvPr id="0" name="image2.png"/>
                    <pic:cNvPicPr preferRelativeResize="0"/>
                  </pic:nvPicPr>
                  <pic:blipFill>
                    <a:blip r:embed="rId40"/>
                    <a:srcRect b="0" l="0" r="0" t="0"/>
                    <a:stretch>
                      <a:fillRect/>
                    </a:stretch>
                  </pic:blipFill>
                  <pic:spPr>
                    <a:xfrm>
                      <a:off x="0" y="0"/>
                      <a:ext cx="359212" cy="23692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reimbursement of eligible chip design expenditure, subject to a cap of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9" name="image12.png"/>
            <a:graphic>
              <a:graphicData uri="http://schemas.openxmlformats.org/drawingml/2006/picture">
                <pic:pic>
                  <pic:nvPicPr>
                    <pic:cNvPr id="0" name="image12.png"/>
                    <pic:cNvPicPr preferRelativeResize="0"/>
                  </pic:nvPicPr>
                  <pic:blipFill>
                    <a:blip r:embed="rId41"/>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application</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 DeepGrid can leverage this to offset EDA tool licensing costs and foundry multi-project wafer (MPW) fabrication fees</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E">
      <w:pPr>
        <w:numPr>
          <w:ilvl w:val="1"/>
          <w:numId w:val="4"/>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Deployment Linked Incentive:</w:t>
      </w:r>
      <w:r w:rsidDel="00000000" w:rsidR="00000000" w:rsidRPr="00000000">
        <w:rPr>
          <w:rFonts w:ascii="Google Sans" w:cs="Google Sans" w:eastAsia="Google Sans" w:hAnsi="Google Sans"/>
          <w:color w:val="1f1f1f"/>
          <w:rtl w:val="0"/>
        </w:rPr>
        <w:t xml:space="preserve"> Provides financial incentives ranging from </w:t>
      </w:r>
      <w:r w:rsidDel="00000000" w:rsidR="00000000" w:rsidRPr="00000000">
        <w:rPr>
          <w:rFonts w:ascii="Google Sans" w:cs="Google Sans" w:eastAsia="Google Sans" w:hAnsi="Google Sans"/>
          <w:color w:val="1f1f1f"/>
        </w:rPr>
        <w:drawing>
          <wp:inline distB="19050" distT="19050" distL="19050" distR="19050">
            <wp:extent cx="261223" cy="245391"/>
            <wp:effectExtent b="0" l="0" r="0" t="0"/>
            <wp:docPr id="10" name="image35.png"/>
            <a:graphic>
              <a:graphicData uri="http://schemas.openxmlformats.org/drawingml/2006/picture">
                <pic:pic>
                  <pic:nvPicPr>
                    <pic:cNvPr id="0" name="image35.png"/>
                    <pic:cNvPicPr preferRelativeResize="0"/>
                  </pic:nvPicPr>
                  <pic:blipFill>
                    <a:blip r:embed="rId42"/>
                    <a:srcRect b="0" l="0" r="0" t="0"/>
                    <a:stretch>
                      <a:fillRect/>
                    </a:stretch>
                  </pic:blipFill>
                  <pic:spPr>
                    <a:xfrm>
                      <a:off x="0" y="0"/>
                      <a:ext cx="261223" cy="24539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261223" cy="245391"/>
            <wp:effectExtent b="0" l="0" r="0" t="0"/>
            <wp:docPr id="43" name="image32.png"/>
            <a:graphic>
              <a:graphicData uri="http://schemas.openxmlformats.org/drawingml/2006/picture">
                <pic:pic>
                  <pic:nvPicPr>
                    <pic:cNvPr id="0" name="image32.png"/>
                    <pic:cNvPicPr preferRelativeResize="0"/>
                  </pic:nvPicPr>
                  <pic:blipFill>
                    <a:blip r:embed="rId43"/>
                    <a:srcRect b="0" l="0" r="0" t="0"/>
                    <a:stretch>
                      <a:fillRect/>
                    </a:stretch>
                  </pic:blipFill>
                  <pic:spPr>
                    <a:xfrm>
                      <a:off x="0" y="0"/>
                      <a:ext cx="261223" cy="24539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of net sales turnover over five years, capped at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44" name="image29.png"/>
            <a:graphic>
              <a:graphicData uri="http://schemas.openxmlformats.org/drawingml/2006/picture">
                <pic:pic>
                  <pic:nvPicPr>
                    <pic:cNvPr id="0" name="image29.png"/>
                    <pic:cNvPicPr preferRelativeResize="0"/>
                  </pic:nvPicPr>
                  <pic:blipFill>
                    <a:blip r:embed="rId44"/>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application, directly subsidizing DeepGrid's volume scaling phase</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AF">
      <w:pPr>
        <w:numPr>
          <w:ilvl w:val="1"/>
          <w:numId w:val="4"/>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Centralized Infrastructure Support:</w:t>
      </w:r>
      <w:r w:rsidDel="00000000" w:rsidR="00000000" w:rsidRPr="00000000">
        <w:rPr>
          <w:rFonts w:ascii="Google Sans" w:cs="Google Sans" w:eastAsia="Google Sans" w:hAnsi="Google Sans"/>
          <w:color w:val="1f1f1f"/>
          <w:rtl w:val="0"/>
        </w:rPr>
        <w:t xml:space="preserve"> Grants access to the shared EDA Grid and the ChipIN Centre, which provides advanced EDA tools (such as Synopsys and Cadence digital design flows) to supported startups, significantly lowering early design overhead</w:t>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0">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Mature Node MPW Fabrication Strategy:</w:t>
      </w:r>
      <w:r w:rsidDel="00000000" w:rsidR="00000000" w:rsidRPr="00000000">
        <w:rPr>
          <w:rFonts w:ascii="Google Sans" w:cs="Google Sans" w:eastAsia="Google Sans" w:hAnsi="Google Sans"/>
          <w:color w:val="1f1f1f"/>
          <w:rtl w:val="0"/>
        </w:rPr>
        <w:t xml:space="preserve"> DeepGrid must execute its tape-out utilizing a Multi-Project Wafer (MPW) shuttle program on TSMC's mature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4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HPC+ process node, rather than committing to a prohibitive full-mask set costing </w:t>
      </w:r>
      <w:r w:rsidDel="00000000" w:rsidR="00000000" w:rsidRPr="00000000">
        <w:rPr>
          <w:rFonts w:ascii="Google Sans" w:cs="Google Sans" w:eastAsia="Google Sans" w:hAnsi="Google Sans"/>
          <w:color w:val="1f1f1f"/>
        </w:rPr>
        <w:drawing>
          <wp:inline distB="19050" distT="19050" distL="19050" distR="19050">
            <wp:extent cx="375642" cy="242602"/>
            <wp:effectExtent b="0" l="0" r="0" t="0"/>
            <wp:docPr id="46" name="image58.png"/>
            <a:graphic>
              <a:graphicData uri="http://schemas.openxmlformats.org/drawingml/2006/picture">
                <pic:pic>
                  <pic:nvPicPr>
                    <pic:cNvPr id="0" name="image58.png"/>
                    <pic:cNvPicPr preferRelativeResize="0"/>
                  </pic:nvPicPr>
                  <pic:blipFill>
                    <a:blip r:embed="rId45"/>
                    <a:srcRect b="0" l="0" r="0" t="0"/>
                    <a:stretch>
                      <a:fillRect/>
                    </a:stretch>
                  </pic:blipFill>
                  <pic:spPr>
                    <a:xfrm>
                      <a:off x="0" y="0"/>
                      <a:ext cx="375642" cy="24260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375642" cy="242602"/>
            <wp:effectExtent b="0" l="0" r="0" t="0"/>
            <wp:docPr id="47" name="image30.png"/>
            <a:graphic>
              <a:graphicData uri="http://schemas.openxmlformats.org/drawingml/2006/picture">
                <pic:pic>
                  <pic:nvPicPr>
                    <pic:cNvPr id="0" name="image30.png"/>
                    <pic:cNvPicPr preferRelativeResize="0"/>
                  </pic:nvPicPr>
                  <pic:blipFill>
                    <a:blip r:embed="rId46"/>
                    <a:srcRect b="0" l="0" r="0" t="0"/>
                    <a:stretch>
                      <a:fillRect/>
                    </a:stretch>
                  </pic:blipFill>
                  <pic:spPr>
                    <a:xfrm>
                      <a:off x="0" y="0"/>
                      <a:ext cx="375642" cy="242602"/>
                    </a:xfrm>
                    <a:prstGeom prst="rect"/>
                    <a:ln/>
                  </pic:spPr>
                </pic:pic>
              </a:graphicData>
            </a:graphic>
          </wp:inline>
        </w:drawing>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 An MPW shuttle run shares mask-set costs across multiple startup designs on a single reticle, reducing the entry cost of first-silicon to approximately </w:t>
      </w:r>
      <w:r w:rsidDel="00000000" w:rsidR="00000000" w:rsidRPr="00000000">
        <w:rPr>
          <w:rFonts w:ascii="Google Sans" w:cs="Google Sans" w:eastAsia="Google Sans" w:hAnsi="Google Sans"/>
          <w:color w:val="1f1f1f"/>
        </w:rPr>
        <w:drawing>
          <wp:inline distB="19050" distT="19050" distL="19050" distR="19050">
            <wp:extent cx="772954" cy="237243"/>
            <wp:effectExtent b="0" l="0" r="0" t="0"/>
            <wp:docPr id="48" name="image38.png"/>
            <a:graphic>
              <a:graphicData uri="http://schemas.openxmlformats.org/drawingml/2006/picture">
                <pic:pic>
                  <pic:nvPicPr>
                    <pic:cNvPr id="0" name="image38.png"/>
                    <pic:cNvPicPr preferRelativeResize="0"/>
                  </pic:nvPicPr>
                  <pic:blipFill>
                    <a:blip r:embed="rId47"/>
                    <a:srcRect b="0" l="0" r="0" t="0"/>
                    <a:stretch>
                      <a:fillRect/>
                    </a:stretch>
                  </pic:blipFill>
                  <pic:spPr>
                    <a:xfrm>
                      <a:off x="0" y="0"/>
                      <a:ext cx="772954" cy="23724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772954" cy="237243"/>
            <wp:effectExtent b="0" l="0" r="0" t="0"/>
            <wp:docPr id="49" name="image50.png"/>
            <a:graphic>
              <a:graphicData uri="http://schemas.openxmlformats.org/drawingml/2006/picture">
                <pic:pic>
                  <pic:nvPicPr>
                    <pic:cNvPr id="0" name="image50.png"/>
                    <pic:cNvPicPr preferRelativeResize="0"/>
                  </pic:nvPicPr>
                  <pic:blipFill>
                    <a:blip r:embed="rId48"/>
                    <a:srcRect b="0" l="0" r="0" t="0"/>
                    <a:stretch>
                      <a:fillRect/>
                    </a:stretch>
                  </pic:blipFill>
                  <pic:spPr>
                    <a:xfrm>
                      <a:off x="0" y="0"/>
                      <a:ext cx="772954" cy="23724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for a typical </w:t>
      </w:r>
      <w:r w:rsidDel="00000000" w:rsidR="00000000" w:rsidRPr="00000000">
        <w:rPr>
          <w:rFonts w:ascii="Google Sans" w:cs="Google Sans" w:eastAsia="Google Sans" w:hAnsi="Google Sans"/>
          <w:color w:val="1f1f1f"/>
        </w:rPr>
        <w:drawing>
          <wp:inline distB="19050" distT="19050" distL="19050" distR="19050">
            <wp:extent cx="649724" cy="236958"/>
            <wp:effectExtent b="0" l="0" r="0" t="0"/>
            <wp:docPr id="50" name="image66.png"/>
            <a:graphic>
              <a:graphicData uri="http://schemas.openxmlformats.org/drawingml/2006/picture">
                <pic:pic>
                  <pic:nvPicPr>
                    <pic:cNvPr id="0" name="image66.png"/>
                    <pic:cNvPicPr preferRelativeResize="0"/>
                  </pic:nvPicPr>
                  <pic:blipFill>
                    <a:blip r:embed="rId49"/>
                    <a:srcRect b="0" l="0" r="0" t="0"/>
                    <a:stretch>
                      <a:fillRect/>
                    </a:stretch>
                  </pic:blipFill>
                  <pic:spPr>
                    <a:xfrm>
                      <a:off x="0" y="0"/>
                      <a:ext cx="649724" cy="23695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649724" cy="236958"/>
            <wp:effectExtent b="0" l="0" r="0" t="0"/>
            <wp:docPr id="51" name="image33.png"/>
            <a:graphic>
              <a:graphicData uri="http://schemas.openxmlformats.org/drawingml/2006/picture">
                <pic:pic>
                  <pic:nvPicPr>
                    <pic:cNvPr id="0" name="image33.png"/>
                    <pic:cNvPicPr preferRelativeResize="0"/>
                  </pic:nvPicPr>
                  <pic:blipFill>
                    <a:blip r:embed="rId50"/>
                    <a:srcRect b="0" l="0" r="0" t="0"/>
                    <a:stretch>
                      <a:fillRect/>
                    </a:stretch>
                  </pic:blipFill>
                  <pic:spPr>
                    <a:xfrm>
                      <a:off x="0" y="0"/>
                      <a:ext cx="649724" cy="23695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die area</w:t>
      </w:r>
      <w:r w:rsidDel="00000000" w:rsidR="00000000" w:rsidRPr="00000000">
        <w:rPr>
          <w:rFonts w:ascii="Google Sans" w:cs="Google Sans" w:eastAsia="Google Sans" w:hAnsi="Google Sans"/>
          <w:color w:val="444746"/>
          <w:sz w:val="24"/>
          <w:szCs w:val="24"/>
          <w:vertAlign w:val="superscript"/>
          <w:rtl w:val="0"/>
        </w:rPr>
        <w:t xml:space="preserve">47</w:t>
      </w:r>
      <w:r w:rsidDel="00000000" w:rsidR="00000000" w:rsidRPr="00000000">
        <w:rPr>
          <w:rFonts w:ascii="Google Sans" w:cs="Google Sans" w:eastAsia="Google Sans" w:hAnsi="Google Sans"/>
          <w:color w:val="1f1f1f"/>
          <w:rtl w:val="0"/>
        </w:rPr>
        <w:t xml:space="preserve">. This process takes three to six months from GDS-II file submission to physical prototype die delivery</w:t>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 yielding 40 to 100 fully functional packaged prototype dies for system-level electrical characterization, timing validation, and functional safety verification</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1">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Disruptive Aftermarket Retrofit Distribution:</w:t>
      </w:r>
      <w:r w:rsidDel="00000000" w:rsidR="00000000" w:rsidRPr="00000000">
        <w:rPr>
          <w:rFonts w:ascii="Google Sans" w:cs="Google Sans" w:eastAsia="Google Sans" w:hAnsi="Google Sans"/>
          <w:color w:val="1f1f1f"/>
          <w:rtl w:val="0"/>
        </w:rPr>
        <w:t xml:space="preserve"> While the custom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52"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ASIC is undergoing fabrication and verification in Taiwan, DeepGrid must manufacture and package its homologation-ready ADAS retrofit kits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Early retrofit units can run on optimized FPGA architectures, transitioning seamlessly to the custom ASIC once first-silicon is verified and delivered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 target segment is private </w:t>
      </w:r>
      <w:r w:rsidDel="00000000" w:rsidR="00000000" w:rsidRPr="00000000">
        <w:rPr>
          <w:rFonts w:ascii="Google Sans" w:cs="Google Sans" w:eastAsia="Google Sans" w:hAnsi="Google Sans"/>
          <w:color w:val="1f1f1f"/>
        </w:rPr>
        <w:drawing>
          <wp:inline distB="19050" distT="19050" distL="19050" distR="19050">
            <wp:extent cx="235744" cy="243348"/>
            <wp:effectExtent b="0" l="0" r="0" t="0"/>
            <wp:docPr id="42"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235744" cy="24334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w:t>
      </w:r>
      <w:r w:rsidDel="00000000" w:rsidR="00000000" w:rsidRPr="00000000">
        <w:rPr>
          <w:rFonts w:ascii="Google Sans" w:cs="Google Sans" w:eastAsia="Google Sans" w:hAnsi="Google Sans"/>
          <w:color w:val="1f1f1f"/>
        </w:rPr>
        <w:drawing>
          <wp:inline distB="19050" distT="19050" distL="19050" distR="19050">
            <wp:extent cx="235744" cy="243348"/>
            <wp:effectExtent b="0" l="0" r="0" t="0"/>
            <wp:docPr id="33" name="image63.png"/>
            <a:graphic>
              <a:graphicData uri="http://schemas.openxmlformats.org/drawingml/2006/picture">
                <pic:pic>
                  <pic:nvPicPr>
                    <pic:cNvPr id="0" name="image63.png"/>
                    <pic:cNvPicPr preferRelativeResize="0"/>
                  </pic:nvPicPr>
                  <pic:blipFill>
                    <a:blip r:embed="rId19"/>
                    <a:srcRect b="0" l="0" r="0" t="0"/>
                    <a:stretch>
                      <a:fillRect/>
                    </a:stretch>
                  </pic:blipFill>
                  <pic:spPr>
                    <a:xfrm>
                      <a:off x="0" y="0"/>
                      <a:ext cx="235744" cy="24334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truck fleets that must comply with the impending regulatory deadlines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pricing its hardware kit at </w:t>
      </w:r>
      <w:r w:rsidDel="00000000" w:rsidR="00000000" w:rsidRPr="00000000">
        <w:rPr>
          <w:rFonts w:ascii="Google Sans" w:cs="Google Sans" w:eastAsia="Google Sans" w:hAnsi="Google Sans"/>
          <w:color w:val="1f1f1f"/>
        </w:rPr>
        <w:drawing>
          <wp:inline distB="19050" distT="19050" distL="19050" distR="19050">
            <wp:extent cx="677704" cy="238737"/>
            <wp:effectExtent b="0" l="0" r="0" t="0"/>
            <wp:docPr id="34"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677704" cy="23873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830104" cy="238271"/>
            <wp:effectExtent b="0" l="0" r="0" t="0"/>
            <wp:docPr id="35"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830104" cy="2382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(representing a massive discount compared to premium imported systems costing upwards of </w:t>
      </w:r>
      <w:r w:rsidDel="00000000" w:rsidR="00000000" w:rsidRPr="00000000">
        <w:rPr>
          <w:rFonts w:ascii="Google Sans" w:cs="Google Sans" w:eastAsia="Google Sans" w:hAnsi="Google Sans"/>
          <w:color w:val="1f1f1f"/>
        </w:rPr>
        <w:drawing>
          <wp:inline distB="19050" distT="19050" distL="19050" distR="19050">
            <wp:extent cx="677704" cy="238737"/>
            <wp:effectExtent b="0" l="0" r="0" t="0"/>
            <wp:docPr id="36"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677704" cy="23873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DeepGrid can drive rapid, high-volume aftermarket retrofits across thousands of active fleet vehicles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GTM Strategy for ICP Option C: Tier-1 Component Partnerships and Factory Line-Fit Embedding (Months 18–36)</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As the custom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37"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ASIC transitions from low-volume MPW prototyping to high-volume production at TSMC, DeepGrid must transition from direct aftermarket sales to a scalable, indirect channel model</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4">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Tier-1 Channel Alliances:</w:t>
      </w:r>
      <w:r w:rsidDel="00000000" w:rsidR="00000000" w:rsidRPr="00000000">
        <w:rPr>
          <w:rFonts w:ascii="Google Sans" w:cs="Google Sans" w:eastAsia="Google Sans" w:hAnsi="Google Sans"/>
          <w:color w:val="1f1f1f"/>
          <w:rtl w:val="0"/>
        </w:rPr>
        <w:t xml:space="preserve"> Early-stage startups cannot survive the multi-year sales cycles, physical supply chain liabilities, and quality assurance processes required by major automotive OEMs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Consequently, DeepGrid must partner with established domestic Tier-1 auto-component suppliers (such as Uno Minda, Spark Minda, or Bosch India)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Under this framework, DeepGrid acts as the "Tier-2" technology provider, licensing its custom ASIC and core perception software libraries to the Tier-1</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 Tier-1 partner handles physical ECU assembly, system integration, validation testing, and long-term vehicle warranties, piggybacking on their existing relationships with major truck OEMs (such as Tata Motors, Ashok Leyland, and Mahindra) to accelerate market penetration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5">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OEM Factory Line-Fit Design-Wins:</w:t>
      </w:r>
      <w:r w:rsidDel="00000000" w:rsidR="00000000" w:rsidRPr="00000000">
        <w:rPr>
          <w:rFonts w:ascii="Google Sans" w:cs="Google Sans" w:eastAsia="Google Sans" w:hAnsi="Google Sans"/>
          <w:color w:val="1f1f1f"/>
          <w:rtl w:val="0"/>
        </w:rPr>
        <w:t xml:space="preserve"> Leveraging the real-world operational safety data gathered from thousands of aftermarket retrofits in Phase 2, DeepGrid and its Tier-1 partners can pitch the custom ASIC directly to commercial vehicle OEMs as a standard, factory-installed component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demonstrating that the single-die DGrid Alpha architecture complies with all mandatory local safety regulations at a fraction of the cost of premium imported systems, DeepGrid can secure high-volume, platform-level design wins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6">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High-Margin Tiered SaaS Subscriptions:</w:t>
      </w:r>
      <w:r w:rsidDel="00000000" w:rsidR="00000000" w:rsidRPr="00000000">
        <w:rPr>
          <w:rFonts w:ascii="Google Sans" w:cs="Google Sans" w:eastAsia="Google Sans" w:hAnsi="Google Sans"/>
          <w:color w:val="1f1f1f"/>
          <w:rtl w:val="0"/>
        </w:rPr>
        <w:t xml:space="preserve"> Once DeepGrid's hardware is embedded across thousands of fleet vehicles, the startup can activate its recurring SaaS revenue engine, offering tiered subscription packages to fleet managers and transport operators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7">
      <w:pPr>
        <w:numPr>
          <w:ilvl w:val="1"/>
          <w:numId w:val="6"/>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Base Compliance Tier (₹10,000 / year per vehicle):</w:t>
      </w:r>
      <w:r w:rsidDel="00000000" w:rsidR="00000000" w:rsidRPr="00000000">
        <w:rPr>
          <w:rFonts w:ascii="Google Sans" w:cs="Google Sans" w:eastAsia="Google Sans" w:hAnsi="Google Sans"/>
          <w:color w:val="1f1f1f"/>
          <w:rtl w:val="0"/>
        </w:rPr>
        <w:t xml:space="preserve"> Provides basic, real-time safety telematics, automated driver warning logs, and mandatory regulatory compliance reporting for Indian MoRTH and GCC WASL portals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8">
      <w:pPr>
        <w:numPr>
          <w:ilvl w:val="1"/>
          <w:numId w:val="6"/>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Advanced Autonomy Tier (₹15,000 / year per vehicle):</w:t>
      </w:r>
      <w:r w:rsidDel="00000000" w:rsidR="00000000" w:rsidRPr="00000000">
        <w:rPr>
          <w:rFonts w:ascii="Google Sans" w:cs="Google Sans" w:eastAsia="Google Sans" w:hAnsi="Google Sans"/>
          <w:color w:val="1f1f1f"/>
          <w:rtl w:val="0"/>
        </w:rPr>
        <w:t xml:space="preserve"> Unlocks advanced processing capabilities, including real-time driver fatigue monitoring via the H100 bio-ADC and edge-based Vision-Language-Action (VLA) visual model analytics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9">
      <w:pPr>
        <w:numPr>
          <w:ilvl w:val="1"/>
          <w:numId w:val="6"/>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i w:val="1"/>
          <w:iCs w:val="1"/>
          <w:color w:val="1f1f1f"/>
          <w:rtl w:val="0"/>
        </w:rPr>
        <w:t xml:space="preserve">Premium Autonomy Tier (₹25,000 / year per vehicle):</w:t>
      </w:r>
      <w:r w:rsidDel="00000000" w:rsidR="00000000" w:rsidRPr="00000000">
        <w:rPr>
          <w:rFonts w:ascii="Google Sans" w:cs="Google Sans" w:eastAsia="Google Sans" w:hAnsi="Google Sans"/>
          <w:color w:val="1f1f1f"/>
          <w:rtl w:val="0"/>
        </w:rPr>
        <w:t xml:space="preserve"> Unlocks advanced Level 2+ collision avoidance, lane keep assist, and adaptive speed compliance parameters delivered via secure Over-The-Air (OTA) updates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Phased Regulatory Mapping as a Non-Discretionary Compliance Engine</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transition of the automotive safety market in India and the GCC from a discretionary, premium-feature model to a non-discretionary, compliance-driven framework is the primary commercial catalyst for DeepGrid’s high-volume GTM strategy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table below outlines the timeline of mandatory safety standards in these regions and maps them directly to DeepGrid's custom silicon chiplets:</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Implementation Timeline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Target Vehicle Categories</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Regulatory Standard / Mandate Code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Core Safety / Compliance Requirement</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DeepGrid Custom Silicon Chiplet Mapping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October 1, 2025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Medium and heavy goods vehicles (</w:t>
            </w:r>
            <w:r w:rsidDel="00000000" w:rsidR="00000000" w:rsidRPr="00000000">
              <w:rPr>
                <w:rFonts w:ascii="Google Sans" w:cs="Google Sans" w:eastAsia="Google Sans" w:hAnsi="Google Sans"/>
                <w:color w:val="1f1f1f"/>
              </w:rPr>
              <w:drawing>
                <wp:inline distB="19050" distT="19050" distL="19050" distR="19050">
                  <wp:extent cx="492919" cy="212334"/>
                  <wp:effectExtent b="0" l="0" r="0" t="0"/>
                  <wp:docPr id="38"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492919" cy="212334"/>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CMVR Truck Cabin AC Mandate</w:t>
            </w:r>
            <w:r w:rsidDel="00000000" w:rsidR="00000000" w:rsidRPr="00000000">
              <w:rPr>
                <w:rFonts w:ascii="Google Sans" w:cs="Google Sans" w:eastAsia="Google Sans" w:hAnsi="Google Sans"/>
                <w:color w:val="444746"/>
                <w:sz w:val="24"/>
                <w:szCs w:val="24"/>
                <w:vertAlign w:val="superscript"/>
                <w:rtl w:val="0"/>
              </w:rPr>
              <w:t xml:space="preserve">49</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Mandatory installation of air conditioning systems in truck cabins to reduce driver fatigue</w:t>
            </w:r>
            <w:r w:rsidDel="00000000" w:rsidR="00000000" w:rsidRPr="00000000">
              <w:rPr>
                <w:rFonts w:ascii="Google Sans" w:cs="Google Sans" w:eastAsia="Google Sans" w:hAnsi="Google Sans"/>
                <w:color w:val="444746"/>
                <w:sz w:val="24"/>
                <w:szCs w:val="24"/>
                <w:vertAlign w:val="superscript"/>
                <w:rtl w:val="0"/>
              </w:rPr>
              <w:t xml:space="preserve">49</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i w:val="1"/>
                <w:iCs w:val="1"/>
                <w:color w:val="1f1f1f"/>
                <w:rtl w:val="0"/>
              </w:rPr>
              <w:t xml:space="preserve">Indirect support:</w:t>
            </w:r>
            <w:r w:rsidDel="00000000" w:rsidR="00000000" w:rsidRPr="00000000">
              <w:rPr>
                <w:rFonts w:ascii="Google Sans" w:cs="Google Sans" w:eastAsia="Google Sans" w:hAnsi="Google Sans"/>
                <w:color w:val="1f1f1f"/>
                <w:rtl w:val="0"/>
              </w:rPr>
              <w:t xml:space="preserve"> DGrid Alpha manages thermal comfort sensors and engine load parameters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April 1, 2026</w:t>
            </w:r>
            <w:r w:rsidDel="00000000" w:rsidR="00000000" w:rsidRPr="00000000">
              <w:rPr>
                <w:rFonts w:ascii="Google Sans" w:cs="Google Sans" w:eastAsia="Google Sans" w:hAnsi="Google Sans"/>
                <w:color w:val="1f1f1f"/>
                <w:rtl w:val="0"/>
              </w:rPr>
              <w:t xml:space="preserve"> (New Models) / </w:t>
            </w:r>
            <w:r w:rsidDel="00000000" w:rsidR="00000000" w:rsidRPr="00000000">
              <w:rPr>
                <w:rFonts w:ascii="Google Sans" w:cs="Google Sans" w:eastAsia="Google Sans" w:hAnsi="Google Sans"/>
                <w:b w:val="1"/>
                <w:bCs w:val="1"/>
                <w:color w:val="1f1f1f"/>
                <w:rtl w:val="0"/>
              </w:rPr>
              <w:t xml:space="preserve">October 1, 2026</w:t>
            </w:r>
            <w:r w:rsidDel="00000000" w:rsidR="00000000" w:rsidRPr="00000000">
              <w:rPr>
                <w:rFonts w:ascii="Google Sans" w:cs="Google Sans" w:eastAsia="Google Sans" w:hAnsi="Google Sans"/>
                <w:color w:val="1f1f1f"/>
                <w:rtl w:val="0"/>
              </w:rPr>
              <w:t xml:space="preserve"> (Existing Models)</w:t>
            </w:r>
            <w:r w:rsidDel="00000000" w:rsidR="00000000" w:rsidRPr="00000000">
              <w:rPr>
                <w:rFonts w:ascii="Google Sans" w:cs="Google Sans" w:eastAsia="Google Sans" w:hAnsi="Google Sans"/>
                <w:color w:val="444746"/>
                <w:sz w:val="24"/>
                <w:szCs w:val="24"/>
                <w:vertAlign w:val="superscript"/>
                <w:rtl w:val="0"/>
              </w:rPr>
              <w:t xml:space="preserve">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Buses (</w:t>
            </w:r>
            <w:r w:rsidDel="00000000" w:rsidR="00000000" w:rsidRPr="00000000">
              <w:rPr>
                <w:rFonts w:ascii="Google Sans" w:cs="Google Sans" w:eastAsia="Google Sans" w:hAnsi="Google Sans"/>
                <w:color w:val="1f1f1f"/>
              </w:rPr>
              <w:drawing>
                <wp:inline distB="19050" distT="19050" distL="19050" distR="19050">
                  <wp:extent cx="550545" cy="214101"/>
                  <wp:effectExtent b="0" l="0" r="0" t="0"/>
                  <wp:docPr id="39" name="image23.png"/>
                  <a:graphic>
                    <a:graphicData uri="http://schemas.openxmlformats.org/drawingml/2006/picture">
                      <pic:pic>
                        <pic:nvPicPr>
                          <pic:cNvPr id="0" name="image23.png"/>
                          <pic:cNvPicPr preferRelativeResize="0"/>
                        </pic:nvPicPr>
                        <pic:blipFill>
                          <a:blip r:embed="rId52"/>
                          <a:srcRect b="0" l="0" r="0" t="0"/>
                          <a:stretch>
                            <a:fillRect/>
                          </a:stretch>
                        </pic:blipFill>
                        <pic:spPr>
                          <a:xfrm>
                            <a:off x="0" y="0"/>
                            <a:ext cx="550545" cy="21410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goods vehicles (</w:t>
            </w:r>
            <w:r w:rsidDel="00000000" w:rsidR="00000000" w:rsidRPr="00000000">
              <w:rPr>
                <w:rFonts w:ascii="Google Sans" w:cs="Google Sans" w:eastAsia="Google Sans" w:hAnsi="Google Sans"/>
                <w:color w:val="1f1f1f"/>
              </w:rPr>
              <w:drawing>
                <wp:inline distB="19050" distT="19050" distL="19050" distR="19050">
                  <wp:extent cx="492919" cy="212334"/>
                  <wp:effectExtent b="0" l="0" r="0" t="0"/>
                  <wp:docPr id="40"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492919" cy="212334"/>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MoRTH Draft Notification </w:t>
            </w:r>
            <w:r w:rsidDel="00000000" w:rsidR="00000000" w:rsidRPr="00000000">
              <w:rPr>
                <w:rFonts w:ascii="Google Sans" w:cs="Google Sans" w:eastAsia="Google Sans" w:hAnsi="Google Sans"/>
                <w:b w:val="1"/>
                <w:bCs w:val="1"/>
                <w:color w:val="1f1f1f"/>
                <w:rtl w:val="0"/>
              </w:rPr>
              <w:t xml:space="preserve">GSR 184(E)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Mandatory implementation of Advanced Driver Assistance Systems (ADAS) across five core safety technologies</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AIS-184</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5, 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Driver Drowsiness and Attention Warning (DDAW) systems utilizing cabin cameras and sleepiness metrics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H100 Chiplet:</w:t>
            </w:r>
            <w:r w:rsidDel="00000000" w:rsidR="00000000" w:rsidRPr="00000000">
              <w:rPr>
                <w:rFonts w:ascii="Google Sans" w:cs="Google Sans" w:eastAsia="Google Sans" w:hAnsi="Google Sans"/>
                <w:color w:val="1f1f1f"/>
                <w:rtl w:val="0"/>
              </w:rPr>
              <w:t xml:space="preserve"> Custom bio-ADC fatigue processor and cabin monitoring interface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AIS-186</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5, 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Blind Spot Information System (BSIS) for vulnerable road user detection during turning</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R100 Chiplet:</w:t>
            </w:r>
            <w:r w:rsidDel="00000000" w:rsidR="00000000" w:rsidRPr="00000000">
              <w:rPr>
                <w:rFonts w:ascii="Google Sans" w:cs="Google Sans" w:eastAsia="Google Sans" w:hAnsi="Google Sans"/>
                <w:color w:val="1f1f1f"/>
                <w:rtl w:val="0"/>
              </w:rPr>
              <w:t xml:space="preserve"> Integrated </w:t>
            </w:r>
            <w:r w:rsidDel="00000000" w:rsidR="00000000" w:rsidRPr="00000000">
              <w:rPr>
                <w:rFonts w:ascii="Google Sans" w:cs="Google Sans" w:eastAsia="Google Sans" w:hAnsi="Google Sans"/>
                <w:color w:val="1f1f1f"/>
              </w:rPr>
              <w:drawing>
                <wp:inline distB="19050" distT="19050" distL="19050" distR="19050">
                  <wp:extent cx="514945" cy="207515"/>
                  <wp:effectExtent b="0" l="0" r="0" t="0"/>
                  <wp:docPr id="41" name="image26.png"/>
                  <a:graphic>
                    <a:graphicData uri="http://schemas.openxmlformats.org/drawingml/2006/picture">
                      <pic:pic>
                        <pic:nvPicPr>
                          <pic:cNvPr id="0" name="image26.png"/>
                          <pic:cNvPicPr preferRelativeResize="0"/>
                        </pic:nvPicPr>
                        <pic:blipFill>
                          <a:blip r:embed="rId53"/>
                          <a:srcRect b="0" l="0" r="0" t="0"/>
                          <a:stretch>
                            <a:fillRect/>
                          </a:stretch>
                        </pic:blipFill>
                        <pic:spPr>
                          <a:xfrm>
                            <a:off x="0" y="0"/>
                            <a:ext cx="514945" cy="20751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radar DSP to process spatial side-blind spots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AIS-187</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5, 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Moving Off Information System (MOIS) to detect pedestrians/cyclists during standstill start-ups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R100 &amp; T100 Chiplets:</w:t>
            </w:r>
            <w:r w:rsidDel="00000000" w:rsidR="00000000" w:rsidRPr="00000000">
              <w:rPr>
                <w:rFonts w:ascii="Google Sans" w:cs="Google Sans" w:eastAsia="Google Sans" w:hAnsi="Google Sans"/>
                <w:color w:val="1f1f1f"/>
                <w:rtl w:val="0"/>
              </w:rPr>
              <w:t xml:space="preserve"> Real-time processing of forward radar and vision-sensor matrices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AIS-188</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5, 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Lane Departure Warning System (LDWS) providing audio-visual alerts</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A100 Chiplet:</w:t>
            </w:r>
            <w:r w:rsidDel="00000000" w:rsidR="00000000" w:rsidRPr="00000000">
              <w:rPr>
                <w:rFonts w:ascii="Google Sans" w:cs="Google Sans" w:eastAsia="Google Sans" w:hAnsi="Google Sans"/>
                <w:color w:val="1f1f1f"/>
                <w:rtl w:val="0"/>
              </w:rPr>
              <w:t xml:space="preserve"> Custom edge-AI visual processor running real-time lane detection models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AIS-162</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[cite: 5, 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Advanced Emergency Braking System (AEBS) active from </w:t>
            </w:r>
            <w:r w:rsidDel="00000000" w:rsidR="00000000" w:rsidRPr="00000000">
              <w:rPr>
                <w:rFonts w:ascii="Google Sans" w:cs="Google Sans" w:eastAsia="Google Sans" w:hAnsi="Google Sans"/>
                <w:color w:val="1f1f1f"/>
              </w:rPr>
              <w:drawing>
                <wp:inline distB="19050" distT="19050" distL="19050" distR="19050">
                  <wp:extent cx="633889" cy="206205"/>
                  <wp:effectExtent b="0" l="0" r="0" t="0"/>
                  <wp:docPr id="31" name="image41.png"/>
                  <a:graphic>
                    <a:graphicData uri="http://schemas.openxmlformats.org/drawingml/2006/picture">
                      <pic:pic>
                        <pic:nvPicPr>
                          <pic:cNvPr id="0" name="image41.png"/>
                          <pic:cNvPicPr preferRelativeResize="0"/>
                        </pic:nvPicPr>
                        <pic:blipFill>
                          <a:blip r:embed="rId54"/>
                          <a:srcRect b="0" l="0" r="0" t="0"/>
                          <a:stretch>
                            <a:fillRect/>
                          </a:stretch>
                        </pic:blipFill>
                        <pic:spPr>
                          <a:xfrm>
                            <a:off x="0" y="0"/>
                            <a:ext cx="633889" cy="20620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max vehicle speed</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A100 &amp; R100 Chiplets:</w:t>
            </w:r>
            <w:r w:rsidDel="00000000" w:rsidR="00000000" w:rsidRPr="00000000">
              <w:rPr>
                <w:rFonts w:ascii="Google Sans" w:cs="Google Sans" w:eastAsia="Google Sans" w:hAnsi="Google Sans"/>
                <w:color w:val="1f1f1f"/>
                <w:rtl w:val="0"/>
              </w:rPr>
              <w:t xml:space="preserve"> High-speed hardware-accelerated decision and emergency braking control</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October 1, 2025</w:t>
            </w:r>
            <w:r w:rsidDel="00000000" w:rsidR="00000000" w:rsidRPr="00000000">
              <w:rPr>
                <w:rFonts w:ascii="Google Sans" w:cs="Google Sans" w:eastAsia="Google Sans" w:hAnsi="Google Sans"/>
                <w:color w:val="1f1f1f"/>
                <w:rtl w:val="0"/>
              </w:rPr>
              <w:t xml:space="preserve"> (New Models) / </w:t>
            </w:r>
            <w:r w:rsidDel="00000000" w:rsidR="00000000" w:rsidRPr="00000000">
              <w:rPr>
                <w:rFonts w:ascii="Google Sans" w:cs="Google Sans" w:eastAsia="Google Sans" w:hAnsi="Google Sans"/>
                <w:b w:val="1"/>
                <w:bCs w:val="1"/>
                <w:color w:val="1f1f1f"/>
                <w:rtl w:val="0"/>
              </w:rPr>
              <w:t xml:space="preserve">October 1, 2028</w:t>
            </w:r>
            <w:r w:rsidDel="00000000" w:rsidR="00000000" w:rsidRPr="00000000">
              <w:rPr>
                <w:rFonts w:ascii="Google Sans" w:cs="Google Sans" w:eastAsia="Google Sans" w:hAnsi="Google Sans"/>
                <w:color w:val="1f1f1f"/>
                <w:rtl w:val="0"/>
              </w:rPr>
              <w:t xml:space="preserve"> (All Models)</w:t>
            </w:r>
            <w:r w:rsidDel="00000000" w:rsidR="00000000" w:rsidRPr="00000000">
              <w:rPr>
                <w:rFonts w:ascii="Google Sans" w:cs="Google Sans" w:eastAsia="Google Sans" w:hAnsi="Google Sans"/>
                <w:color w:val="444746"/>
                <w:sz w:val="24"/>
                <w:szCs w:val="24"/>
                <w:vertAlign w:val="superscript"/>
                <w:rtl w:val="0"/>
              </w:rPr>
              <w:t xml:space="preserve">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All applicable road vehicle categories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AIS-189 (CSMS)</w:t>
            </w: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b w:val="1"/>
                <w:bCs w:val="1"/>
                <w:color w:val="1f1f1f"/>
                <w:rtl w:val="0"/>
              </w:rPr>
              <w:t xml:space="preserve">AIS-190 (SUMS)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Mandatory Cybersecurity Management Systems and Software Update Management Systems aligned with UN R155/R156</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D100 Chiplet:</w:t>
            </w:r>
            <w:r w:rsidDel="00000000" w:rsidR="00000000" w:rsidRPr="00000000">
              <w:rPr>
                <w:rFonts w:ascii="Google Sans" w:cs="Google Sans" w:eastAsia="Google Sans" w:hAnsi="Google Sans"/>
                <w:color w:val="1f1f1f"/>
                <w:rtl w:val="0"/>
              </w:rPr>
              <w:t xml:space="preserve"> Dual-core lockstep secure RISC-V enclave providing hardware-level cryptographic isolation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October 1, 2027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Medium and heavy goods vehicles (</w:t>
            </w:r>
            <w:r w:rsidDel="00000000" w:rsidR="00000000" w:rsidRPr="00000000">
              <w:rPr>
                <w:rFonts w:ascii="Google Sans" w:cs="Google Sans" w:eastAsia="Google Sans" w:hAnsi="Google Sans"/>
                <w:color w:val="1f1f1f"/>
              </w:rPr>
              <w:drawing>
                <wp:inline distB="19050" distT="19050" distL="19050" distR="19050">
                  <wp:extent cx="492919" cy="212334"/>
                  <wp:effectExtent b="0" l="0" r="0" t="0"/>
                  <wp:docPr id="32"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492919" cy="212334"/>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MoRTH Gazette Notification </w:t>
            </w:r>
            <w:r w:rsidDel="00000000" w:rsidR="00000000" w:rsidRPr="00000000">
              <w:rPr>
                <w:rFonts w:ascii="Google Sans" w:cs="Google Sans" w:eastAsia="Google Sans" w:hAnsi="Google Sans"/>
                <w:b w:val="1"/>
                <w:bCs w:val="1"/>
                <w:color w:val="1f1f1f"/>
                <w:rtl w:val="0"/>
              </w:rPr>
              <w:t xml:space="preserve">GSR 834(E)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Mandatory implementation of Advanced Emergency Braking Systems (AEBS) and Electronic Stability Control (ESC) to AIS-162 standards</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A100 &amp; R100 Chiplets:</w:t>
            </w:r>
            <w:r w:rsidDel="00000000" w:rsidR="00000000" w:rsidRPr="00000000">
              <w:rPr>
                <w:rFonts w:ascii="Google Sans" w:cs="Google Sans" w:eastAsia="Google Sans" w:hAnsi="Google Sans"/>
                <w:color w:val="1f1f1f"/>
                <w:rtl w:val="0"/>
              </w:rPr>
              <w:t xml:space="preserve"> Processes emergency collision thresholds and triggers vehicle stability maneuvers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January 1, 2028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Buses (</w:t>
            </w:r>
            <w:r w:rsidDel="00000000" w:rsidR="00000000" w:rsidRPr="00000000">
              <w:rPr>
                <w:rFonts w:ascii="Google Sans" w:cs="Google Sans" w:eastAsia="Google Sans" w:hAnsi="Google Sans"/>
                <w:color w:val="1f1f1f"/>
              </w:rPr>
              <w:drawing>
                <wp:inline distB="19050" distT="19050" distL="19050" distR="19050">
                  <wp:extent cx="550545" cy="214101"/>
                  <wp:effectExtent b="0" l="0" r="0" t="0"/>
                  <wp:docPr id="67" name="image23.png"/>
                  <a:graphic>
                    <a:graphicData uri="http://schemas.openxmlformats.org/drawingml/2006/picture">
                      <pic:pic>
                        <pic:nvPicPr>
                          <pic:cNvPr id="0" name="image23.png"/>
                          <pic:cNvPicPr preferRelativeResize="0"/>
                        </pic:nvPicPr>
                        <pic:blipFill>
                          <a:blip r:embed="rId52"/>
                          <a:srcRect b="0" l="0" r="0" t="0"/>
                          <a:stretch>
                            <a:fillRect/>
                          </a:stretch>
                        </pic:blipFill>
                        <pic:spPr>
                          <a:xfrm>
                            <a:off x="0" y="0"/>
                            <a:ext cx="550545" cy="21410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goods vehicles (</w:t>
            </w:r>
            <w:r w:rsidDel="00000000" w:rsidR="00000000" w:rsidRPr="00000000">
              <w:rPr>
                <w:rFonts w:ascii="Google Sans" w:cs="Google Sans" w:eastAsia="Google Sans" w:hAnsi="Google Sans"/>
                <w:color w:val="1f1f1f"/>
              </w:rPr>
              <w:drawing>
                <wp:inline distB="19050" distT="19050" distL="19050" distR="19050">
                  <wp:extent cx="492919" cy="212334"/>
                  <wp:effectExtent b="0" l="0" r="0" t="0"/>
                  <wp:docPr id="68"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492919" cy="212334"/>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Phased MoRTH ADAS Compliance Deadline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Full-scale mandatory implementation of AIS-184 (Drowsiness), AIS-188 (Lane Departure), AIS-186 (Blind Spot), and AIS-187 (Moving Off)</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Unified DGrid Alpha SoC:</w:t>
            </w:r>
            <w:r w:rsidDel="00000000" w:rsidR="00000000" w:rsidRPr="00000000">
              <w:rPr>
                <w:rFonts w:ascii="Google Sans" w:cs="Google Sans" w:eastAsia="Google Sans" w:hAnsi="Google Sans"/>
                <w:color w:val="1f1f1f"/>
                <w:rtl w:val="0"/>
              </w:rPr>
              <w:t xml:space="preserve"> Single-die processing of all five mandatory AIS safety standards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Active Mandate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Commercial trucks, buses, tow trucks, and delivery bikes in Saudi Arabia</w:t>
            </w:r>
            <w:r w:rsidDel="00000000" w:rsidR="00000000" w:rsidRPr="00000000">
              <w:rPr>
                <w:rFonts w:ascii="Google Sans" w:cs="Google Sans" w:eastAsia="Google Sans" w:hAnsi="Google Sans"/>
                <w:color w:val="444746"/>
                <w:sz w:val="24"/>
                <w:szCs w:val="24"/>
                <w:vertAlign w:val="superscript"/>
                <w:rtl w:val="0"/>
              </w:rPr>
              <w:t xml:space="preserve">16</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Saudi TGA </w:t>
            </w:r>
            <w:r w:rsidDel="00000000" w:rsidR="00000000" w:rsidRPr="00000000">
              <w:rPr>
                <w:rFonts w:ascii="Google Sans" w:cs="Google Sans" w:eastAsia="Google Sans" w:hAnsi="Google Sans"/>
                <w:b w:val="1"/>
                <w:bCs w:val="1"/>
                <w:color w:val="1f1f1f"/>
                <w:rtl w:val="0"/>
              </w:rPr>
              <w:t xml:space="preserve">WASL Compliance</w:t>
            </w:r>
            <w:r w:rsidDel="00000000" w:rsidR="00000000" w:rsidRPr="00000000">
              <w:rPr>
                <w:rFonts w:ascii="Google Sans" w:cs="Google Sans" w:eastAsia="Google Sans" w:hAnsi="Google Sans"/>
                <w:color w:val="444746"/>
                <w:sz w:val="24"/>
                <w:szCs w:val="24"/>
                <w:vertAlign w:val="superscript"/>
                <w:rtl w:val="0"/>
              </w:rPr>
              <w:t xml:space="preserve">16</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Mandatory real-time GPS tracking, weight sensor integration, driver verification, and automated WASL data sync</w:t>
            </w:r>
            <w:r w:rsidDel="00000000" w:rsidR="00000000" w:rsidRPr="00000000">
              <w:rPr>
                <w:rFonts w:ascii="Google Sans" w:cs="Google Sans" w:eastAsia="Google Sans" w:hAnsi="Google Sans"/>
                <w:color w:val="444746"/>
                <w:sz w:val="24"/>
                <w:szCs w:val="24"/>
                <w:vertAlign w:val="superscript"/>
                <w:rtl w:val="0"/>
              </w:rPr>
              <w:t xml:space="preserve">6</w:t>
            </w:r>
            <w:r w:rsidDel="00000000" w:rsidR="00000000" w:rsidRPr="00000000">
              <w:rPr>
                <w:rFonts w:ascii="Google Sans" w:cs="Google Sans" w:eastAsia="Google Sans" w:hAnsi="Google Sans"/>
                <w:color w:val="1f1f1f"/>
                <w:rtl w:val="0"/>
              </w:rPr>
              <w:t xml:space="preserv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S100 Chiplet:</w:t>
            </w:r>
            <w:r w:rsidDel="00000000" w:rsidR="00000000" w:rsidRPr="00000000">
              <w:rPr>
                <w:rFonts w:ascii="Google Sans" w:cs="Google Sans" w:eastAsia="Google Sans" w:hAnsi="Google Sans"/>
                <w:color w:val="1f1f1f"/>
                <w:rtl w:val="0"/>
              </w:rPr>
              <w:t xml:space="preserve"> Software-Defined Vehicle vehicle gateway with integrated WASL tracking protocols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tc>
      </w:tr>
    </w:tbl>
    <w:p w:rsidR="00000000" w:rsidDel="00000000" w:rsidP="00000000" w:rsidRDefault="00000000" w:rsidRPr="00000000" w14:paraId="000000FF">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Quantitative Cost Curves, Unit Economics, and Venture Capital Investment Thesis</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validate its business model to institutional venture capitalists, DeepGrid must show how its custom silicon design translates into structural margin expansion and highly competitive pricing</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Custom Silicon Cost Advantage vs. Foreign Competitors</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primary driver of DeepGrid's economic advantage is its complete vertical integration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Western autonomous computing platforms rely on general-purpose GPUs and CPUs, which require highly complex, multi-chip board configurations featuring separate processors, radar DSPs, CAN controllers, and secure enclaves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design drives their compute board BOM to over </w:t>
      </w:r>
      <w:r w:rsidDel="00000000" w:rsidR="00000000" w:rsidRPr="00000000">
        <w:rPr>
          <w:rFonts w:ascii="Google Sans" w:cs="Google Sans" w:eastAsia="Google Sans" w:hAnsi="Google Sans"/>
          <w:color w:val="1f1f1f"/>
        </w:rPr>
        <w:drawing>
          <wp:inline distB="19050" distT="19050" distL="19050" distR="19050">
            <wp:extent cx="577096" cy="235394"/>
            <wp:effectExtent b="0" l="0" r="0" t="0"/>
            <wp:docPr id="69" name="image62.png"/>
            <a:graphic>
              <a:graphicData uri="http://schemas.openxmlformats.org/drawingml/2006/picture">
                <pic:pic>
                  <pic:nvPicPr>
                    <pic:cNvPr id="0" name="image62.png"/>
                    <pic:cNvPicPr preferRelativeResize="0"/>
                  </pic:nvPicPr>
                  <pic:blipFill>
                    <a:blip r:embed="rId15"/>
                    <a:srcRect b="0" l="0" r="0" t="0"/>
                    <a:stretch>
                      <a:fillRect/>
                    </a:stretch>
                  </pic:blipFill>
                  <pic:spPr>
                    <a:xfrm>
                      <a:off x="0" y="0"/>
                      <a:ext cx="577096" cy="23539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forcing these incumbents to target premium, high-margin logistics networks in developed markets to justify the high capital expenditure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DeepGrid's custom system-on-chip design integrates six functional chiplets—including AI acceleration (A100), radar DSP (R100), secure RISC-V compute (D100), and a vehicle telematics gateway (S100)—directly onto a single silicon substrate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fabricated on a mature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70"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process node, DeepGrid minimizes production costs, dropping the custom die cost to approximately </w:t>
      </w:r>
      <w:r w:rsidDel="00000000" w:rsidR="00000000" w:rsidRPr="00000000">
        <w:rPr>
          <w:rFonts w:ascii="Google Sans" w:cs="Google Sans" w:eastAsia="Google Sans" w:hAnsi="Google Sans"/>
          <w:color w:val="1f1f1f"/>
        </w:rPr>
        <w:drawing>
          <wp:inline distB="19050" distT="19050" distL="19050" distR="19050">
            <wp:extent cx="402907" cy="240195"/>
            <wp:effectExtent b="0" l="0" r="0" t="0"/>
            <wp:docPr id="71" name="image22.png"/>
            <a:graphic>
              <a:graphicData uri="http://schemas.openxmlformats.org/drawingml/2006/picture">
                <pic:pic>
                  <pic:nvPicPr>
                    <pic:cNvPr id="0" name="image22.png"/>
                    <pic:cNvPicPr preferRelativeResize="0"/>
                  </pic:nvPicPr>
                  <pic:blipFill>
                    <a:blip r:embed="rId37"/>
                    <a:srcRect b="0" l="0" r="0" t="0"/>
                    <a:stretch>
                      <a:fillRect/>
                    </a:stretch>
                  </pic:blipFill>
                  <pic:spPr>
                    <a:xfrm>
                      <a:off x="0" y="0"/>
                      <a:ext cx="402907" cy="24019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the complete board-level BOM to approximately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72"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480" w:before="390"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5.9999942779541" w:lineRule="auto"/>
        <w:ind w:left="480" w:firstLine="0"/>
        <w:rPr>
          <w:rFonts w:ascii="Google Sans" w:cs="Google Sans" w:eastAsia="Google Sans" w:hAnsi="Google Sans"/>
          <w:color w:val="1f1f1f"/>
          <w:shd w:fill="141414" w:val="clear"/>
        </w:rPr>
      </w:pPr>
      <w:r w:rsidDel="00000000" w:rsidR="00000000" w:rsidRPr="00000000">
        <w:rPr>
          <w:rFonts w:ascii="Google Sans" w:cs="Google Sans" w:eastAsia="Google Sans" w:hAnsi="Google Sans"/>
          <w:color w:val="1f1f1f"/>
          <w:shd w:fill="141414" w:val="clear"/>
          <w:rtl w:val="0"/>
        </w:rPr>
        <w:t xml:space="preserve">┌────────────────────────────────────────────────────────────────────────┐</w:t>
        <w:br w:type="textWrapping"/>
        <w:t xml:space="preserve">│              COMPUTE HARDWARE BOM COST ARBITRAGE                       │</w:t>
        <w:br w:type="textWrapping"/>
        <w:t xml:space="preserve">├────────────────────────────────────────────────────────────────────────┤</w:t>
        <w:br w:type="textWrapping"/>
        <w:t xml:space="preserve">│                                                                        │</w:t>
        <w:br w:type="textWrapping"/>
        <w:t xml:space="preserve">│  [ WESTERN INCUMBENTS (Aurora/Kodiak) ] ──────────────► $6,000+        │</w:t>
        <w:br w:type="textWrapping"/>
        <w:t xml:space="preserve">│  • General-purpose multi-chip GPU/CPU boards.               │</w:t>
        <w:br w:type="textWrapping"/>
        <w:t xml:space="preserve">│  • Dependent on advanced 5nm/7nm process nodes.              │</w:t>
        <w:br w:type="textWrapping"/>
        <w:t xml:space="preserve">│                                                                        │</w:t>
        <w:br w:type="textWrapping"/>
        <w:t xml:space="preserve">│  [ DEEPGRID SEMI (DGrid Alpha SoC2) ] ────────────────► ~$30          │</w:t>
        <w:br w:type="textWrapping"/>
        <w:t xml:space="preserve">│  • Custom, single-die integrated 6-chiplet architecture.    │</w:t>
        <w:br w:type="textWrapping"/>
        <w:t xml:space="preserve">│  • Fabricated on mature, low-cost TSMC 28nm node.            │</w:t>
        <w:br w:type="textWrapping"/>
        <w:t xml:space="preserve">└────────────────────────────────────────────────────────────────────────┘</w:t>
        <w:br w:type="textWrapping"/>
      </w:r>
    </w:p>
    <w:p w:rsidR="00000000" w:rsidDel="00000000" w:rsidP="00000000" w:rsidRDefault="00000000" w:rsidRPr="00000000" w14:paraId="0000010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Prototyping Cost Analysis and Break-Even Projections</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Developing custom silicon on a mature node is a highly predictable engineering process</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By choosing TSMC's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7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HPC+ process node, DeepGrid avoids the expensive mask sets and long development queues of leading-edge FinFET nodes (such as </w:t>
      </w:r>
      <w:r w:rsidDel="00000000" w:rsidR="00000000" w:rsidRPr="00000000">
        <w:rPr>
          <w:rFonts w:ascii="Google Sans" w:cs="Google Sans" w:eastAsia="Google Sans" w:hAnsi="Google Sans"/>
          <w:color w:val="1f1f1f"/>
        </w:rPr>
        <w:drawing>
          <wp:inline distB="19050" distT="19050" distL="19050" distR="19050">
            <wp:extent cx="370165" cy="239065"/>
            <wp:effectExtent b="0" l="0" r="0" t="0"/>
            <wp:docPr id="7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70165" cy="239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or </w:t>
      </w:r>
      <w:r w:rsidDel="00000000" w:rsidR="00000000" w:rsidRPr="00000000">
        <w:rPr>
          <w:rFonts w:ascii="Google Sans" w:cs="Google Sans" w:eastAsia="Google Sans" w:hAnsi="Google Sans"/>
          <w:color w:val="1f1f1f"/>
        </w:rPr>
        <w:drawing>
          <wp:inline distB="19050" distT="19050" distL="19050" distR="19050">
            <wp:extent cx="370165" cy="239065"/>
            <wp:effectExtent b="0" l="0" r="0" t="0"/>
            <wp:docPr id="64" name="image39.png"/>
            <a:graphic>
              <a:graphicData uri="http://schemas.openxmlformats.org/drawingml/2006/picture">
                <pic:pic>
                  <pic:nvPicPr>
                    <pic:cNvPr id="0" name="image39.png"/>
                    <pic:cNvPicPr preferRelativeResize="0"/>
                  </pic:nvPicPr>
                  <pic:blipFill>
                    <a:blip r:embed="rId55"/>
                    <a:srcRect b="0" l="0" r="0" t="0"/>
                    <a:stretch>
                      <a:fillRect/>
                    </a:stretch>
                  </pic:blipFill>
                  <pic:spPr>
                    <a:xfrm>
                      <a:off x="0" y="0"/>
                      <a:ext cx="370165" cy="239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where a full mask set easily exceeds </w:t>
      </w:r>
      <w:r w:rsidDel="00000000" w:rsidR="00000000" w:rsidRPr="00000000">
        <w:rPr>
          <w:rFonts w:ascii="Google Sans" w:cs="Google Sans" w:eastAsia="Google Sans" w:hAnsi="Google Sans"/>
          <w:color w:val="1f1f1f"/>
        </w:rPr>
        <w:drawing>
          <wp:inline distB="19050" distT="19050" distL="19050" distR="19050">
            <wp:extent cx="375642" cy="242602"/>
            <wp:effectExtent b="0" l="0" r="0" t="0"/>
            <wp:docPr id="65" name="image56.png"/>
            <a:graphic>
              <a:graphicData uri="http://schemas.openxmlformats.org/drawingml/2006/picture">
                <pic:pic>
                  <pic:nvPicPr>
                    <pic:cNvPr id="0" name="image56.png"/>
                    <pic:cNvPicPr preferRelativeResize="0"/>
                  </pic:nvPicPr>
                  <pic:blipFill>
                    <a:blip r:embed="rId56"/>
                    <a:srcRect b="0" l="0" r="0" t="0"/>
                    <a:stretch>
                      <a:fillRect/>
                    </a:stretch>
                  </pic:blipFill>
                  <pic:spPr>
                    <a:xfrm>
                      <a:off x="0" y="0"/>
                      <a:ext cx="375642" cy="24260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473631" cy="236815"/>
            <wp:effectExtent b="0" l="0" r="0" t="0"/>
            <wp:docPr id="66" name="image68.png"/>
            <a:graphic>
              <a:graphicData uri="http://schemas.openxmlformats.org/drawingml/2006/picture">
                <pic:pic>
                  <pic:nvPicPr>
                    <pic:cNvPr id="0" name="image68.png"/>
                    <pic:cNvPicPr preferRelativeResize="0"/>
                  </pic:nvPicPr>
                  <pic:blipFill>
                    <a:blip r:embed="rId57"/>
                    <a:srcRect b="0" l="0" r="0" t="0"/>
                    <a:stretch>
                      <a:fillRect/>
                    </a:stretch>
                  </pic:blipFill>
                  <pic:spPr>
                    <a:xfrm>
                      <a:off x="0" y="0"/>
                      <a:ext cx="473631" cy="236815"/>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financial economics of DeepGrid’s transition from high-cost FPGA prototyping to mass-produced custom ASICs are modeled below:</w:t>
      </w:r>
    </w:p>
    <w:p w:rsidR="00000000" w:rsidDel="00000000" w:rsidP="00000000" w:rsidRDefault="00000000" w:rsidRPr="00000000" w14:paraId="0000010B">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FPGA Prototyping Phase Cost:</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642223" cy="239866"/>
            <wp:effectExtent b="0" l="0" r="0" t="0"/>
            <wp:docPr id="57" name="image37.png"/>
            <a:graphic>
              <a:graphicData uri="http://schemas.openxmlformats.org/drawingml/2006/picture">
                <pic:pic>
                  <pic:nvPicPr>
                    <pic:cNvPr id="0" name="image37.png"/>
                    <pic:cNvPicPr preferRelativeResize="0"/>
                  </pic:nvPicPr>
                  <pic:blipFill>
                    <a:blip r:embed="rId7"/>
                    <a:srcRect b="0" l="0" r="0" t="0"/>
                    <a:stretch>
                      <a:fillRect/>
                    </a:stretch>
                  </pic:blipFill>
                  <pic:spPr>
                    <a:xfrm>
                      <a:off x="0" y="0"/>
                      <a:ext cx="642223" cy="239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98765" cy="237971"/>
            <wp:effectExtent b="0" l="0" r="0" t="0"/>
            <wp:docPr id="58" name="image34.png"/>
            <a:graphic>
              <a:graphicData uri="http://schemas.openxmlformats.org/drawingml/2006/picture">
                <pic:pic>
                  <pic:nvPicPr>
                    <pic:cNvPr id="0" name="image34.png"/>
                    <pic:cNvPicPr preferRelativeResize="0"/>
                  </pic:nvPicPr>
                  <pic:blipFill>
                    <a:blip r:embed="rId8"/>
                    <a:srcRect b="0" l="0" r="0" t="0"/>
                    <a:stretch>
                      <a:fillRect/>
                    </a:stretch>
                  </pic:blipFill>
                  <pic:spPr>
                    <a:xfrm>
                      <a:off x="0" y="0"/>
                      <a:ext cx="598765" cy="2379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board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C">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Projected Custom ASIC Die Cost:</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402907" cy="240195"/>
            <wp:effectExtent b="0" l="0" r="0" t="0"/>
            <wp:docPr id="59" name="image22.png"/>
            <a:graphic>
              <a:graphicData uri="http://schemas.openxmlformats.org/drawingml/2006/picture">
                <pic:pic>
                  <pic:nvPicPr>
                    <pic:cNvPr id="0" name="image22.png"/>
                    <pic:cNvPicPr preferRelativeResize="0"/>
                  </pic:nvPicPr>
                  <pic:blipFill>
                    <a:blip r:embed="rId37"/>
                    <a:srcRect b="0" l="0" r="0" t="0"/>
                    <a:stretch>
                      <a:fillRect/>
                    </a:stretch>
                  </pic:blipFill>
                  <pic:spPr>
                    <a:xfrm>
                      <a:off x="0" y="0"/>
                      <a:ext cx="402907" cy="24019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chip at scale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D">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Projected Complete Board-level BOM (ASIC + Sensors + Enclosure):</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60"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board</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E">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Target Aftermarket Retrofit Retail Price:</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677704" cy="238737"/>
            <wp:effectExtent b="0" l="0" r="0" t="0"/>
            <wp:docPr id="61" name="image24.png"/>
            <a:graphic>
              <a:graphicData uri="http://schemas.openxmlformats.org/drawingml/2006/picture">
                <pic:pic>
                  <pic:nvPicPr>
                    <pic:cNvPr id="0" name="image24.png"/>
                    <pic:cNvPicPr preferRelativeResize="0"/>
                  </pic:nvPicPr>
                  <pic:blipFill>
                    <a:blip r:embed="rId23"/>
                    <a:srcRect b="0" l="0" r="0" t="0"/>
                    <a:stretch>
                      <a:fillRect/>
                    </a:stretch>
                  </pic:blipFill>
                  <pic:spPr>
                    <a:xfrm>
                      <a:off x="0" y="0"/>
                      <a:ext cx="677704" cy="23873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830104" cy="238271"/>
            <wp:effectExtent b="0" l="0" r="0" t="0"/>
            <wp:docPr id="62"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830104" cy="2382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784027" cy="238283"/>
            <wp:effectExtent b="0" l="0" r="0" t="0"/>
            <wp:docPr id="63" name="image36.png"/>
            <a:graphic>
              <a:graphicData uri="http://schemas.openxmlformats.org/drawingml/2006/picture">
                <pic:pic>
                  <pic:nvPicPr>
                    <pic:cNvPr id="0" name="image36.png"/>
                    <pic:cNvPicPr preferRelativeResize="0"/>
                  </pic:nvPicPr>
                  <pic:blipFill>
                    <a:blip r:embed="rId58"/>
                    <a:srcRect b="0" l="0" r="0" t="0"/>
                    <a:stretch>
                      <a:fillRect/>
                    </a:stretch>
                  </pic:blipFill>
                  <pic:spPr>
                    <a:xfrm>
                      <a:off x="0" y="0"/>
                      <a:ext cx="784027" cy="23828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to </w:t>
      </w:r>
      <w:r w:rsidDel="00000000" w:rsidR="00000000" w:rsidRPr="00000000">
        <w:rPr>
          <w:rFonts w:ascii="Google Sans" w:cs="Google Sans" w:eastAsia="Google Sans" w:hAnsi="Google Sans"/>
          <w:color w:val="1f1f1f"/>
        </w:rPr>
        <w:drawing>
          <wp:inline distB="19050" distT="19050" distL="19050" distR="19050">
            <wp:extent cx="577096" cy="235394"/>
            <wp:effectExtent b="0" l="0" r="0" t="0"/>
            <wp:docPr id="53" name="image55.png"/>
            <a:graphic>
              <a:graphicData uri="http://schemas.openxmlformats.org/drawingml/2006/picture">
                <pic:pic>
                  <pic:nvPicPr>
                    <pic:cNvPr id="0" name="image55.png"/>
                    <pic:cNvPicPr preferRelativeResize="0"/>
                  </pic:nvPicPr>
                  <pic:blipFill>
                    <a:blip r:embed="rId59"/>
                    <a:srcRect b="0" l="0" r="0" t="0"/>
                    <a:stretch>
                      <a:fillRect/>
                    </a:stretch>
                  </pic:blipFill>
                  <pic:spPr>
                    <a:xfrm>
                      <a:off x="0" y="0"/>
                      <a:ext cx="577096" cy="235394"/>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0F">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Hardware Production Cost:</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00896" cy="235269"/>
            <wp:effectExtent b="0" l="0" r="0" t="0"/>
            <wp:docPr id="54"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500896" cy="2352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(ASIC Board) + </w:t>
      </w:r>
      <w:r w:rsidDel="00000000" w:rsidR="00000000" w:rsidRPr="00000000">
        <w:rPr>
          <w:rFonts w:ascii="Google Sans" w:cs="Google Sans" w:eastAsia="Google Sans" w:hAnsi="Google Sans"/>
          <w:color w:val="1f1f1f"/>
        </w:rPr>
        <w:drawing>
          <wp:inline distB="19050" distT="19050" distL="19050" distR="19050">
            <wp:extent cx="391835" cy="238174"/>
            <wp:effectExtent b="0" l="0" r="0" t="0"/>
            <wp:docPr id="55" name="image65.png"/>
            <a:graphic>
              <a:graphicData uri="http://schemas.openxmlformats.org/drawingml/2006/picture">
                <pic:pic>
                  <pic:nvPicPr>
                    <pic:cNvPr id="0" name="image65.png"/>
                    <pic:cNvPicPr preferRelativeResize="0"/>
                  </pic:nvPicPr>
                  <pic:blipFill>
                    <a:blip r:embed="rId60"/>
                    <a:srcRect b="0" l="0" r="0" t="0"/>
                    <a:stretch>
                      <a:fillRect/>
                    </a:stretch>
                  </pic:blipFill>
                  <pic:spPr>
                    <a:xfrm>
                      <a:off x="0" y="0"/>
                      <a:ext cx="391835" cy="23817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(Radar Sensor) + </w:t>
      </w:r>
      <w:r w:rsidDel="00000000" w:rsidR="00000000" w:rsidRPr="00000000">
        <w:rPr>
          <w:rFonts w:ascii="Google Sans" w:cs="Google Sans" w:eastAsia="Google Sans" w:hAnsi="Google Sans"/>
          <w:color w:val="1f1f1f"/>
        </w:rPr>
        <w:drawing>
          <wp:inline distB="19050" distT="19050" distL="19050" distR="19050">
            <wp:extent cx="293965" cy="239814"/>
            <wp:effectExtent b="0" l="0" r="0" t="0"/>
            <wp:docPr id="56" name="image31.png"/>
            <a:graphic>
              <a:graphicData uri="http://schemas.openxmlformats.org/drawingml/2006/picture">
                <pic:pic>
                  <pic:nvPicPr>
                    <pic:cNvPr id="0" name="image31.png"/>
                    <pic:cNvPicPr preferRelativeResize="0"/>
                  </pic:nvPicPr>
                  <pic:blipFill>
                    <a:blip r:embed="rId61"/>
                    <a:srcRect b="0" l="0" r="0" t="0"/>
                    <a:stretch>
                      <a:fillRect/>
                    </a:stretch>
                  </pic:blipFill>
                  <pic:spPr>
                    <a:xfrm>
                      <a:off x="0" y="0"/>
                      <a:ext cx="293965" cy="2398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(Visual Camera Array) + </w:t>
      </w:r>
      <w:r w:rsidDel="00000000" w:rsidR="00000000" w:rsidRPr="00000000">
        <w:rPr>
          <w:rFonts w:ascii="Google Sans" w:cs="Google Sans" w:eastAsia="Google Sans" w:hAnsi="Google Sans"/>
          <w:color w:val="1f1f1f"/>
        </w:rPr>
        <w:drawing>
          <wp:inline distB="19050" distT="19050" distL="19050" distR="19050">
            <wp:extent cx="293965" cy="239814"/>
            <wp:effectExtent b="0" l="0" r="0" t="0"/>
            <wp:docPr id="93" name="image64.png"/>
            <a:graphic>
              <a:graphicData uri="http://schemas.openxmlformats.org/drawingml/2006/picture">
                <pic:pic>
                  <pic:nvPicPr>
                    <pic:cNvPr id="0" name="image64.png"/>
                    <pic:cNvPicPr preferRelativeResize="0"/>
                  </pic:nvPicPr>
                  <pic:blipFill>
                    <a:blip r:embed="rId62"/>
                    <a:srcRect b="0" l="0" r="0" t="0"/>
                    <a:stretch>
                      <a:fillRect/>
                    </a:stretch>
                  </pic:blipFill>
                  <pic:spPr>
                    <a:xfrm>
                      <a:off x="0" y="0"/>
                      <a:ext cx="293965" cy="2398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(Enclosure &amp; Harness) </w:t>
      </w:r>
      <w:r w:rsidDel="00000000" w:rsidR="00000000" w:rsidRPr="00000000">
        <w:rPr>
          <w:rFonts w:ascii="Google Sans" w:cs="Google Sans" w:eastAsia="Google Sans" w:hAnsi="Google Sans"/>
          <w:color w:val="1f1f1f"/>
        </w:rPr>
        <w:drawing>
          <wp:inline distB="19050" distT="19050" distL="19050" distR="19050">
            <wp:extent cx="598765" cy="237971"/>
            <wp:effectExtent b="0" l="0" r="0" t="0"/>
            <wp:docPr id="95" name="image57.png"/>
            <a:graphic>
              <a:graphicData uri="http://schemas.openxmlformats.org/drawingml/2006/picture">
                <pic:pic>
                  <pic:nvPicPr>
                    <pic:cNvPr id="0" name="image57.png"/>
                    <pic:cNvPicPr preferRelativeResize="0"/>
                  </pic:nvPicPr>
                  <pic:blipFill>
                    <a:blip r:embed="rId63"/>
                    <a:srcRect b="0" l="0" r="0" t="0"/>
                    <a:stretch>
                      <a:fillRect/>
                    </a:stretch>
                  </pic:blipFill>
                  <pic:spPr>
                    <a:xfrm>
                      <a:off x="0" y="0"/>
                      <a:ext cx="598765" cy="2379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849154" cy="237151"/>
            <wp:effectExtent b="0" l="0" r="0" t="0"/>
            <wp:docPr id="97" name="image52.png"/>
            <a:graphic>
              <a:graphicData uri="http://schemas.openxmlformats.org/drawingml/2006/picture">
                <pic:pic>
                  <pic:nvPicPr>
                    <pic:cNvPr id="0" name="image52.png"/>
                    <pic:cNvPicPr preferRelativeResize="0"/>
                  </pic:nvPicPr>
                  <pic:blipFill>
                    <a:blip r:embed="rId64"/>
                    <a:srcRect b="0" l="0" r="0" t="0"/>
                    <a:stretch>
                      <a:fillRect/>
                    </a:stretch>
                  </pic:blipFill>
                  <pic:spPr>
                    <a:xfrm>
                      <a:off x="0" y="0"/>
                      <a:ext cx="849154" cy="237151"/>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0">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Hardware Unit Gross Margin:</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860108" cy="238065"/>
            <wp:effectExtent b="0" l="0" r="0" t="0"/>
            <wp:docPr id="99" name="image53.png"/>
            <a:graphic>
              <a:graphicData uri="http://schemas.openxmlformats.org/drawingml/2006/picture">
                <pic:pic>
                  <pic:nvPicPr>
                    <pic:cNvPr id="0" name="image53.png"/>
                    <pic:cNvPicPr preferRelativeResize="0"/>
                  </pic:nvPicPr>
                  <pic:blipFill>
                    <a:blip r:embed="rId65"/>
                    <a:srcRect b="0" l="0" r="0" t="0"/>
                    <a:stretch>
                      <a:fillRect/>
                    </a:stretch>
                  </pic:blipFill>
                  <pic:spPr>
                    <a:xfrm>
                      <a:off x="0" y="0"/>
                      <a:ext cx="860108" cy="238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at scaled production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Assuming a total initial non-recurring engineering (NRE) design and fabrication investment of </w:t>
      </w:r>
      <w:r w:rsidDel="00000000" w:rsidR="00000000" w:rsidRPr="00000000">
        <w:rPr>
          <w:rFonts w:ascii="Google Sans" w:cs="Google Sans" w:eastAsia="Google Sans" w:hAnsi="Google Sans"/>
          <w:color w:val="1f1f1f"/>
        </w:rPr>
        <w:drawing>
          <wp:inline distB="19050" distT="19050" distL="19050" distR="19050">
            <wp:extent cx="375642" cy="242602"/>
            <wp:effectExtent b="0" l="0" r="0" t="0"/>
            <wp:docPr id="101" name="image67.png"/>
            <a:graphic>
              <a:graphicData uri="http://schemas.openxmlformats.org/drawingml/2006/picture">
                <pic:pic>
                  <pic:nvPicPr>
                    <pic:cNvPr id="0" name="image67.png"/>
                    <pic:cNvPicPr preferRelativeResize="0"/>
                  </pic:nvPicPr>
                  <pic:blipFill>
                    <a:blip r:embed="rId66"/>
                    <a:srcRect b="0" l="0" r="0" t="0"/>
                    <a:stretch>
                      <a:fillRect/>
                    </a:stretch>
                  </pic:blipFill>
                  <pic:spPr>
                    <a:xfrm>
                      <a:off x="0" y="0"/>
                      <a:ext cx="375642" cy="24260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(covering mask sets, IP licenses, design tools, and engineering overhead)</w:t>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 the break-even volume on custom silicon is calculated using the formula:</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898390"/>
            <wp:effectExtent b="0" l="0" r="0" t="0"/>
            <wp:docPr id="104" name="image61.png"/>
            <a:graphic>
              <a:graphicData uri="http://schemas.openxmlformats.org/drawingml/2006/picture">
                <pic:pic>
                  <pic:nvPicPr>
                    <pic:cNvPr id="0" name="image61.png"/>
                    <pic:cNvPicPr preferRelativeResize="0"/>
                  </pic:nvPicPr>
                  <pic:blipFill>
                    <a:blip r:embed="rId67"/>
                    <a:srcRect b="0" l="0" r="0" t="0"/>
                    <a:stretch>
                      <a:fillRect/>
                    </a:stretch>
                  </pic:blipFill>
                  <pic:spPr>
                    <a:xfrm>
                      <a:off x="0" y="0"/>
                      <a:ext cx="5905500" cy="89839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Using conservative pricing figures:</w:t>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603115"/>
            <wp:effectExtent b="0" l="0" r="0" t="0"/>
            <wp:docPr id="18" name="image16.png"/>
            <a:graphic>
              <a:graphicData uri="http://schemas.openxmlformats.org/drawingml/2006/picture">
                <pic:pic>
                  <pic:nvPicPr>
                    <pic:cNvPr id="0" name="image16.png"/>
                    <pic:cNvPicPr preferRelativeResize="0"/>
                  </pic:nvPicPr>
                  <pic:blipFill>
                    <a:blip r:embed="rId68"/>
                    <a:srcRect b="0" l="0" r="0" t="0"/>
                    <a:stretch>
                      <a:fillRect/>
                    </a:stretch>
                  </pic:blipFill>
                  <pic:spPr>
                    <a:xfrm>
                      <a:off x="0" y="0"/>
                      <a:ext cx="5905500" cy="603115"/>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603115"/>
            <wp:effectExtent b="0" l="0" r="0" t="0"/>
            <wp:docPr id="17" name="image5.png"/>
            <a:graphic>
              <a:graphicData uri="http://schemas.openxmlformats.org/drawingml/2006/picture">
                <pic:pic>
                  <pic:nvPicPr>
                    <pic:cNvPr id="0" name="image5.png"/>
                    <pic:cNvPicPr preferRelativeResize="0"/>
                  </pic:nvPicPr>
                  <pic:blipFill>
                    <a:blip r:embed="rId69"/>
                    <a:srcRect b="0" l="0" r="0" t="0"/>
                    <a:stretch>
                      <a:fillRect/>
                    </a:stretch>
                  </pic:blipFill>
                  <pic:spPr>
                    <a:xfrm>
                      <a:off x="0" y="0"/>
                      <a:ext cx="5905500" cy="603115"/>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603115"/>
            <wp:effectExtent b="0" l="0" r="0" t="0"/>
            <wp:docPr id="21" name="image13.png"/>
            <a:graphic>
              <a:graphicData uri="http://schemas.openxmlformats.org/drawingml/2006/picture">
                <pic:pic>
                  <pic:nvPicPr>
                    <pic:cNvPr id="0" name="image13.png"/>
                    <pic:cNvPicPr preferRelativeResize="0"/>
                  </pic:nvPicPr>
                  <pic:blipFill>
                    <a:blip r:embed="rId70"/>
                    <a:srcRect b="0" l="0" r="0" t="0"/>
                    <a:stretch>
                      <a:fillRect/>
                    </a:stretch>
                  </pic:blipFill>
                  <pic:spPr>
                    <a:xfrm>
                      <a:off x="0" y="0"/>
                      <a:ext cx="5905500" cy="603115"/>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804153"/>
            <wp:effectExtent b="0" l="0" r="0" t="0"/>
            <wp:docPr id="19" name="image25.png"/>
            <a:graphic>
              <a:graphicData uri="http://schemas.openxmlformats.org/drawingml/2006/picture">
                <pic:pic>
                  <pic:nvPicPr>
                    <pic:cNvPr id="0" name="image25.png"/>
                    <pic:cNvPicPr preferRelativeResize="0"/>
                  </pic:nvPicPr>
                  <pic:blipFill>
                    <a:blip r:embed="rId71"/>
                    <a:srcRect b="0" l="0" r="0" t="0"/>
                    <a:stretch>
                      <a:fillRect/>
                    </a:stretch>
                  </pic:blipFill>
                  <pic:spPr>
                    <a:xfrm>
                      <a:off x="0" y="0"/>
                      <a:ext cx="5905500" cy="804153"/>
                    </a:xfrm>
                    <a:prstGeom prst="rect"/>
                    <a:ln/>
                  </pic:spPr>
                </pic:pic>
              </a:graphicData>
            </a:graphic>
          </wp:inline>
        </w:drawing>
      </w: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break-even volume of </w:t>
      </w:r>
      <w:r w:rsidDel="00000000" w:rsidR="00000000" w:rsidRPr="00000000">
        <w:rPr>
          <w:rFonts w:ascii="Google Sans" w:cs="Google Sans" w:eastAsia="Google Sans" w:hAnsi="Google Sans"/>
          <w:color w:val="1f1f1f"/>
        </w:rPr>
        <w:drawing>
          <wp:inline distB="19050" distT="19050" distL="19050" distR="19050">
            <wp:extent cx="686038" cy="236302"/>
            <wp:effectExtent b="0" l="0" r="0" t="0"/>
            <wp:docPr id="14" name="image9.png"/>
            <a:graphic>
              <a:graphicData uri="http://schemas.openxmlformats.org/drawingml/2006/picture">
                <pic:pic>
                  <pic:nvPicPr>
                    <pic:cNvPr id="0" name="image9.png"/>
                    <pic:cNvPicPr preferRelativeResize="0"/>
                  </pic:nvPicPr>
                  <pic:blipFill>
                    <a:blip r:embed="rId72"/>
                    <a:srcRect b="0" l="0" r="0" t="0"/>
                    <a:stretch>
                      <a:fillRect/>
                    </a:stretch>
                  </pic:blipFill>
                  <pic:spPr>
                    <a:xfrm>
                      <a:off x="0" y="0"/>
                      <a:ext cx="686038" cy="236302"/>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retrofitted vehicles represents a highly achievable target, constituting less than </w:t>
      </w:r>
      <w:r w:rsidDel="00000000" w:rsidR="00000000" w:rsidRPr="00000000">
        <w:rPr>
          <w:rFonts w:ascii="Google Sans" w:cs="Google Sans" w:eastAsia="Google Sans" w:hAnsi="Google Sans"/>
          <w:color w:val="1f1f1f"/>
        </w:rPr>
        <w:drawing>
          <wp:inline distB="19050" distT="19050" distL="19050" distR="19050">
            <wp:extent cx="413623" cy="241931"/>
            <wp:effectExtent b="0" l="0" r="0" t="0"/>
            <wp:docPr id="13" name="image6.png"/>
            <a:graphic>
              <a:graphicData uri="http://schemas.openxmlformats.org/drawingml/2006/picture">
                <pic:pic>
                  <pic:nvPicPr>
                    <pic:cNvPr id="0" name="image6.png"/>
                    <pic:cNvPicPr preferRelativeResize="0"/>
                  </pic:nvPicPr>
                  <pic:blipFill>
                    <a:blip r:embed="rId73"/>
                    <a:srcRect b="0" l="0" r="0" t="0"/>
                    <a:stretch>
                      <a:fillRect/>
                    </a:stretch>
                  </pic:blipFill>
                  <pic:spPr>
                    <a:xfrm>
                      <a:off x="0" y="0"/>
                      <a:ext cx="413623" cy="24193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of the estimated active medium and heavy commercial vehicle fleet in India, highlighting the commercial viability of DeepGrid's custom silicon strategy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Actionable Recommendations: The Pre-Series A VC Investment Thesis</w:t>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For venture capitalists evaluating DeepGrid Semi against global autonomy platforms and domestic semiconductor design startups, the investment thesis is built on three core strategic pillars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B">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Eliminating the "Hardware Squeeze Zone" via Vertical Integration:</w:t>
      </w:r>
      <w:r w:rsidDel="00000000" w:rsidR="00000000" w:rsidRPr="00000000">
        <w:rPr>
          <w:rFonts w:ascii="Google Sans" w:cs="Google Sans" w:eastAsia="Google Sans" w:hAnsi="Google Sans"/>
          <w:color w:val="1f1f1f"/>
          <w:rtl w:val="0"/>
        </w:rPr>
        <w:t xml:space="preserve"> Software-only autonomous vehicle startups are structurally squeezed by high third-party hardware costs, as they are forced to purchase expensive merchant silicon compute engines to run their algorithms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executing complete vertical integration—designing its own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16"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ASIC, integrated radar DSP, and physical compute system—DeepGrid avoids this margin squeeze, capturing both premium hardware margins and high-margin recurring SaaS software revenue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C">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De-Risking Early Cash-Burn via the Dual-Use Tactical Wedge:</w:t>
      </w:r>
      <w:r w:rsidDel="00000000" w:rsidR="00000000" w:rsidRPr="00000000">
        <w:rPr>
          <w:rFonts w:ascii="Google Sans" w:cs="Google Sans" w:eastAsia="Google Sans" w:hAnsi="Google Sans"/>
          <w:color w:val="1f1f1f"/>
          <w:rtl w:val="0"/>
        </w:rPr>
        <w:t xml:space="preserve"> DeepGrid is not a pre-revenue startup burning cash while waiting for long-horizon passenger vehicle OEM contracts to mature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deploying its currently functional FPGA platforms directly into tactical defense projects and port AGV environments, DeepGrid generates immediate, high-margin contract cash-flow</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dual-use strategy provides vital operational validation data, cushions the startup's burn rate, and builds physical proof-of-concept traction to de-risk the TSMC tape-out phase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D">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Capital Efficiency via Sovereign Compliance and Mature Nodes:</w:t>
      </w:r>
      <w:r w:rsidDel="00000000" w:rsidR="00000000" w:rsidRPr="00000000">
        <w:rPr>
          <w:rFonts w:ascii="Google Sans" w:cs="Google Sans" w:eastAsia="Google Sans" w:hAnsi="Google Sans"/>
          <w:color w:val="1f1f1f"/>
          <w:rtl w:val="0"/>
        </w:rPr>
        <w:t xml:space="preserve"> While foreign incumbents burn hundreds of millions of dollars attempting to design chips on expensive </w:t>
      </w:r>
      <w:r w:rsidDel="00000000" w:rsidR="00000000" w:rsidRPr="00000000">
        <w:rPr>
          <w:rFonts w:ascii="Google Sans" w:cs="Google Sans" w:eastAsia="Google Sans" w:hAnsi="Google Sans"/>
          <w:color w:val="1f1f1f"/>
        </w:rPr>
        <w:drawing>
          <wp:inline distB="19050" distT="19050" distL="19050" distR="19050">
            <wp:extent cx="370165" cy="239065"/>
            <wp:effectExtent b="0" l="0" r="0" t="0"/>
            <wp:docPr id="15"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370165" cy="23906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FinFET nodes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DeepGrid's utilization of TSMC's mature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12"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HPC+ node represents an extremely capital-efficient engineering path</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Supported by the India Semiconductor Mission's Design Linked Incentive (DLI) Scheme—which subsidizes up to </w:t>
      </w:r>
      <w:r w:rsidDel="00000000" w:rsidR="00000000" w:rsidRPr="00000000">
        <w:rPr>
          <w:rFonts w:ascii="Google Sans" w:cs="Google Sans" w:eastAsia="Google Sans" w:hAnsi="Google Sans"/>
          <w:color w:val="1f1f1f"/>
        </w:rPr>
        <w:drawing>
          <wp:inline distB="19050" distT="19050" distL="19050" distR="19050">
            <wp:extent cx="359212" cy="236927"/>
            <wp:effectExtent b="0" l="0" r="0" t="0"/>
            <wp:docPr id="11" name="image2.png"/>
            <a:graphic>
              <a:graphicData uri="http://schemas.openxmlformats.org/drawingml/2006/picture">
                <pic:pic>
                  <pic:nvPicPr>
                    <pic:cNvPr id="0" name="image2.png"/>
                    <pic:cNvPicPr preferRelativeResize="0"/>
                  </pic:nvPicPr>
                  <pic:blipFill>
                    <a:blip r:embed="rId40"/>
                    <a:srcRect b="0" l="0" r="0" t="0"/>
                    <a:stretch>
                      <a:fillRect/>
                    </a:stretch>
                  </pic:blipFill>
                  <pic:spPr>
                    <a:xfrm>
                      <a:off x="0" y="0"/>
                      <a:ext cx="359212" cy="23692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of eligible chip design expenditure and offers sales-linked incentives</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—DeepGrid’s requested </w:t>
      </w:r>
      <w:r w:rsidDel="00000000" w:rsidR="00000000" w:rsidRPr="00000000">
        <w:rPr>
          <w:rFonts w:ascii="Google Sans" w:cs="Google Sans" w:eastAsia="Google Sans" w:hAnsi="Google Sans"/>
          <w:color w:val="1f1f1f"/>
        </w:rPr>
        <w:drawing>
          <wp:inline distB="19050" distT="19050" distL="19050" distR="19050">
            <wp:extent cx="822841" cy="238393"/>
            <wp:effectExtent b="0" l="0" r="0" t="0"/>
            <wp:docPr id="79"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822841" cy="23839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Pre-Series A round provides a realistic, fully funded path to first-silicon delivery, system validation, and rapid market deployment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summary, DeepGrid's GTM strategy intelligently adapts the dual-use pragmatism of Kodiak and the constrained-environment focus of Gatik to the unique regulatory landscape of India and the GCC</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Funding DeepGrid is a calculated bet that aggressive vertical integration on a mature </w:t>
      </w:r>
      <w:r w:rsidDel="00000000" w:rsidR="00000000" w:rsidRPr="00000000">
        <w:rPr>
          <w:rFonts w:ascii="Google Sans" w:cs="Google Sans" w:eastAsia="Google Sans" w:hAnsi="Google Sans"/>
          <w:color w:val="1f1f1f"/>
        </w:rPr>
        <w:drawing>
          <wp:inline distB="19050" distT="19050" distL="19050" distR="19050">
            <wp:extent cx="468154" cy="237914"/>
            <wp:effectExtent b="0" l="0" r="0" t="0"/>
            <wp:docPr id="7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68154" cy="237914"/>
                    </a:xfrm>
                    <a:prstGeom prst="rect"/>
                    <a:ln/>
                  </pic:spPr>
                </pic:pic>
              </a:graphicData>
            </a:graphic>
          </wp:inline>
        </w:drawing>
      </w:r>
      <w:r w:rsidDel="00000000" w:rsidR="00000000" w:rsidRPr="00000000">
        <w:rPr>
          <w:rFonts w:ascii="Google Sans" w:cs="Google Sans" w:eastAsia="Google Sans" w:hAnsi="Google Sans"/>
          <w:color w:val="1f1f1f"/>
          <w:rtl w:val="0"/>
        </w:rPr>
        <w:t xml:space="preserve"> node is the only economically viable method to capture the impending, mandate-driven commercial vehicle safety and autonomy market</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11F">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120">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https://gemini.google.com/app/fb1eeea2f13562b1, uploaded:https://gemini.google.com/app/fb1eeea2f13562b1</w:t>
      </w:r>
    </w:p>
    <w:p w:rsidR="00000000" w:rsidDel="00000000" w:rsidP="00000000" w:rsidRDefault="00000000" w:rsidRPr="00000000" w14:paraId="00000121">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 UAE &amp; MENA Transport Laws: What Fleet Owners Must Know in 2025, </w:t>
      </w:r>
      <w:hyperlink r:id="rId74">
        <w:r w:rsidDel="00000000" w:rsidR="00000000" w:rsidRPr="00000000">
          <w:rPr>
            <w:rFonts w:ascii="Google Sans" w:cs="Google Sans" w:eastAsia="Google Sans" w:hAnsi="Google Sans"/>
            <w:color w:val="0000ee"/>
            <w:sz w:val="24"/>
            <w:szCs w:val="24"/>
            <w:u w:val="single"/>
            <w:rtl w:val="0"/>
          </w:rPr>
          <w:t xml:space="preserve">https://resolute-dynamics.com/2025-uae-mena-fleet-law-updates/</w:t>
        </w:r>
      </w:hyperlink>
      <w:r w:rsidDel="00000000" w:rsidR="00000000" w:rsidRPr="00000000">
        <w:rPr>
          <w:rtl w:val="0"/>
        </w:rPr>
      </w:r>
    </w:p>
    <w:p w:rsidR="00000000" w:rsidDel="00000000" w:rsidP="00000000" w:rsidRDefault="00000000" w:rsidRPr="00000000" w14:paraId="00000122">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28nm Wafer &amp; MPW Cost Explained: Constraints, Risk, and When It Makes Sense, </w:t>
      </w:r>
      <w:hyperlink r:id="rId75">
        <w:r w:rsidDel="00000000" w:rsidR="00000000" w:rsidRPr="00000000">
          <w:rPr>
            <w:rFonts w:ascii="Google Sans" w:cs="Google Sans" w:eastAsia="Google Sans" w:hAnsi="Google Sans"/>
            <w:color w:val="0000ee"/>
            <w:sz w:val="24"/>
            <w:szCs w:val="24"/>
            <w:u w:val="single"/>
            <w:rtl w:val="0"/>
          </w:rPr>
          <w:t xml:space="preserve">https://anysilicon.com/28nm-wafer-mpw-cost/</w:t>
        </w:r>
      </w:hyperlink>
      <w:r w:rsidDel="00000000" w:rsidR="00000000" w:rsidRPr="00000000">
        <w:rPr>
          <w:rtl w:val="0"/>
        </w:rPr>
      </w:r>
    </w:p>
    <w:p w:rsidR="00000000" w:rsidDel="00000000" w:rsidP="00000000" w:rsidRDefault="00000000" w:rsidRPr="00000000" w14:paraId="00000123">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mandatory safety devices for heavy commercial vehicles - PIB, </w:t>
      </w:r>
      <w:hyperlink r:id="rId76">
        <w:r w:rsidDel="00000000" w:rsidR="00000000" w:rsidRPr="00000000">
          <w:rPr>
            <w:rFonts w:ascii="Google Sans" w:cs="Google Sans" w:eastAsia="Google Sans" w:hAnsi="Google Sans"/>
            <w:color w:val="0000ee"/>
            <w:sz w:val="24"/>
            <w:szCs w:val="24"/>
            <w:u w:val="single"/>
            <w:rtl w:val="0"/>
          </w:rPr>
          <w:t xml:space="preserve">https://www.pib.gov.in/PressReleasePage.aspx?PRID=2227148</w:t>
        </w:r>
      </w:hyperlink>
      <w:r w:rsidDel="00000000" w:rsidR="00000000" w:rsidRPr="00000000">
        <w:rPr>
          <w:rtl w:val="0"/>
        </w:rPr>
      </w:r>
    </w:p>
    <w:p w:rsidR="00000000" w:rsidDel="00000000" w:rsidP="00000000" w:rsidRDefault="00000000" w:rsidRPr="00000000" w14:paraId="00000124">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India's 2026 Heavy Vehicle ADAS Mandate Explained | ChallanWala, </w:t>
      </w:r>
      <w:hyperlink r:id="rId77">
        <w:r w:rsidDel="00000000" w:rsidR="00000000" w:rsidRPr="00000000">
          <w:rPr>
            <w:rFonts w:ascii="Google Sans" w:cs="Google Sans" w:eastAsia="Google Sans" w:hAnsi="Google Sans"/>
            <w:color w:val="0000ee"/>
            <w:sz w:val="24"/>
            <w:szCs w:val="24"/>
            <w:u w:val="single"/>
            <w:rtl w:val="0"/>
          </w:rPr>
          <w:t xml:space="preserve">https://www.challanwala.com/blogs/indias-2026-heavy-vehicle-adas-mandate-testing</w:t>
        </w:r>
      </w:hyperlink>
      <w:r w:rsidDel="00000000" w:rsidR="00000000" w:rsidRPr="00000000">
        <w:rPr>
          <w:rtl w:val="0"/>
        </w:rPr>
      </w:r>
    </w:p>
    <w:p w:rsidR="00000000" w:rsidDel="00000000" w:rsidP="00000000" w:rsidRDefault="00000000" w:rsidRPr="00000000" w14:paraId="00000125">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WASL Integration with Flotilla IoT and its Benefits, </w:t>
      </w:r>
      <w:hyperlink r:id="rId78">
        <w:r w:rsidDel="00000000" w:rsidR="00000000" w:rsidRPr="00000000">
          <w:rPr>
            <w:rFonts w:ascii="Google Sans" w:cs="Google Sans" w:eastAsia="Google Sans" w:hAnsi="Google Sans"/>
            <w:color w:val="0000ee"/>
            <w:sz w:val="24"/>
            <w:szCs w:val="24"/>
            <w:u w:val="single"/>
            <w:rtl w:val="0"/>
          </w:rPr>
          <w:t xml:space="preserve">https://flotillaiot.com/wasl-integration-with-flotilla-iot-and-its-benefits/</w:t>
        </w:r>
      </w:hyperlink>
      <w:r w:rsidDel="00000000" w:rsidR="00000000" w:rsidRPr="00000000">
        <w:rPr>
          <w:rtl w:val="0"/>
        </w:rPr>
      </w:r>
    </w:p>
    <w:p w:rsidR="00000000" w:rsidDel="00000000" w:rsidP="00000000" w:rsidRDefault="00000000" w:rsidRPr="00000000" w14:paraId="00000126">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Indian EV Regulatory Standards 2026: What Every OEM Must Know, </w:t>
      </w:r>
      <w:hyperlink r:id="rId79">
        <w:r w:rsidDel="00000000" w:rsidR="00000000" w:rsidRPr="00000000">
          <w:rPr>
            <w:rFonts w:ascii="Google Sans" w:cs="Google Sans" w:eastAsia="Google Sans" w:hAnsi="Google Sans"/>
            <w:color w:val="0000ee"/>
            <w:sz w:val="24"/>
            <w:szCs w:val="24"/>
            <w:u w:val="single"/>
            <w:rtl w:val="0"/>
          </w:rPr>
          <w:t xml:space="preserve">https://www.electraytech.com/indian-automotive-regulatory-landscape-2026-ev-standards/</w:t>
        </w:r>
      </w:hyperlink>
      <w:r w:rsidDel="00000000" w:rsidR="00000000" w:rsidRPr="00000000">
        <w:rPr>
          <w:rtl w:val="0"/>
        </w:rPr>
      </w:r>
    </w:p>
    <w:p w:rsidR="00000000" w:rsidDel="00000000" w:rsidP="00000000" w:rsidRDefault="00000000" w:rsidRPr="00000000" w14:paraId="00000127">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AIS-004 Part 3: EMC Requirements | PDF | Electromagnetic Compatibility | Radio - Scribd, </w:t>
      </w:r>
      <w:hyperlink r:id="rId80">
        <w:r w:rsidDel="00000000" w:rsidR="00000000" w:rsidRPr="00000000">
          <w:rPr>
            <w:rFonts w:ascii="Google Sans" w:cs="Google Sans" w:eastAsia="Google Sans" w:hAnsi="Google Sans"/>
            <w:color w:val="0000ee"/>
            <w:sz w:val="24"/>
            <w:szCs w:val="24"/>
            <w:u w:val="single"/>
            <w:rtl w:val="0"/>
          </w:rPr>
          <w:t xml:space="preserve">https://www.scribd.com/document/634802526/AIS-004-Part-3-Rev-1-1</w:t>
        </w:r>
      </w:hyperlink>
      <w:r w:rsidDel="00000000" w:rsidR="00000000" w:rsidRPr="00000000">
        <w:rPr>
          <w:rtl w:val="0"/>
        </w:rPr>
      </w:r>
    </w:p>
    <w:p w:rsidR="00000000" w:rsidDel="00000000" w:rsidP="00000000" w:rsidRDefault="00000000" w:rsidRPr="00000000" w14:paraId="00000128">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Automotive Industry Standards (AIS) India Mandatory Conformance Test Standards, </w:t>
      </w:r>
      <w:hyperlink r:id="rId81">
        <w:r w:rsidDel="00000000" w:rsidR="00000000" w:rsidRPr="00000000">
          <w:rPr>
            <w:rFonts w:ascii="Google Sans" w:cs="Google Sans" w:eastAsia="Google Sans" w:hAnsi="Google Sans"/>
            <w:color w:val="0000ee"/>
            <w:sz w:val="24"/>
            <w:szCs w:val="24"/>
            <w:u w:val="single"/>
            <w:rtl w:val="0"/>
          </w:rPr>
          <w:t xml:space="preserve">https://5.imimg.com/data5/SELLER/Doc/2020/9/XO/QA/XO/62947934/automotive-ais-certification-services.pdf</w:t>
        </w:r>
      </w:hyperlink>
      <w:r w:rsidDel="00000000" w:rsidR="00000000" w:rsidRPr="00000000">
        <w:rPr>
          <w:rtl w:val="0"/>
        </w:rPr>
      </w:r>
    </w:p>
    <w:p w:rsidR="00000000" w:rsidDel="00000000" w:rsidP="00000000" w:rsidRDefault="00000000" w:rsidRPr="00000000" w14:paraId="00000129">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Much Does It Cost to Make a Semiconductor Chip? - Silicon Analysts, </w:t>
      </w:r>
      <w:hyperlink r:id="rId82">
        <w:r w:rsidDel="00000000" w:rsidR="00000000" w:rsidRPr="00000000">
          <w:rPr>
            <w:rFonts w:ascii="Google Sans" w:cs="Google Sans" w:eastAsia="Google Sans" w:hAnsi="Google Sans"/>
            <w:color w:val="0000ee"/>
            <w:sz w:val="24"/>
            <w:szCs w:val="24"/>
            <w:u w:val="single"/>
            <w:rtl w:val="0"/>
          </w:rPr>
          <w:t xml:space="preserve">https://siliconanalysts.com/guide/semiconductor-costs</w:t>
        </w:r>
      </w:hyperlink>
      <w:r w:rsidDel="00000000" w:rsidR="00000000" w:rsidRPr="00000000">
        <w:rPr>
          <w:rtl w:val="0"/>
        </w:rPr>
      </w:r>
    </w:p>
    <w:p w:rsidR="00000000" w:rsidDel="00000000" w:rsidP="00000000" w:rsidRDefault="00000000" w:rsidRPr="00000000" w14:paraId="0000012A">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Zoho Bets ₹87 Crore on Netrasemi, Kerala's First Edge AI Chip Startup | Datafin, </w:t>
      </w:r>
      <w:hyperlink r:id="rId83">
        <w:r w:rsidDel="00000000" w:rsidR="00000000" w:rsidRPr="00000000">
          <w:rPr>
            <w:rFonts w:ascii="Google Sans" w:cs="Google Sans" w:eastAsia="Google Sans" w:hAnsi="Google Sans"/>
            <w:color w:val="0000ee"/>
            <w:sz w:val="24"/>
            <w:szCs w:val="24"/>
            <w:u w:val="single"/>
            <w:rtl w:val="0"/>
          </w:rPr>
          <w:t xml:space="preserve">https://datafin.in/blog/zoho-backed-netrasemi-edge-ai-chip-series-a-funding</w:t>
        </w:r>
      </w:hyperlink>
      <w:r w:rsidDel="00000000" w:rsidR="00000000" w:rsidRPr="00000000">
        <w:rPr>
          <w:rtl w:val="0"/>
        </w:rPr>
      </w:r>
    </w:p>
    <w:p w:rsidR="00000000" w:rsidDel="00000000" w:rsidP="00000000" w:rsidRDefault="00000000" w:rsidRPr="00000000" w14:paraId="0000012B">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AGNIT Semiconductors Raises $2.6M in Seed Extension: Building India's First Vertically Integrated GaN Semiconductor Platform for Advanced Radio Frequency and Power Electronics Applications - 3one4 Capital, </w:t>
      </w:r>
      <w:hyperlink r:id="rId84">
        <w:r w:rsidDel="00000000" w:rsidR="00000000" w:rsidRPr="00000000">
          <w:rPr>
            <w:rFonts w:ascii="Google Sans" w:cs="Google Sans" w:eastAsia="Google Sans" w:hAnsi="Google Sans"/>
            <w:color w:val="0000ee"/>
            <w:sz w:val="24"/>
            <w:szCs w:val="24"/>
            <w:u w:val="single"/>
            <w:rtl w:val="0"/>
          </w:rPr>
          <w:t xml:space="preserve">https://www.3one4capital.com/blogs/agnit-semiconductors-raises-2-6m-in-seed-extension-building-indias-first-vertically-integrated-gan-semiconductor-platform-for-advanced-radio-frequency-and-power-electronics-applications</w:t>
        </w:r>
      </w:hyperlink>
      <w:r w:rsidDel="00000000" w:rsidR="00000000" w:rsidRPr="00000000">
        <w:rPr>
          <w:rtl w:val="0"/>
        </w:rPr>
      </w:r>
    </w:p>
    <w:p w:rsidR="00000000" w:rsidDel="00000000" w:rsidP="00000000" w:rsidRDefault="00000000" w:rsidRPr="00000000" w14:paraId="0000012C">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Self-Driving Cars: Made In India, Not For India - The Core Report, </w:t>
      </w:r>
      <w:hyperlink r:id="rId85">
        <w:r w:rsidDel="00000000" w:rsidR="00000000" w:rsidRPr="00000000">
          <w:rPr>
            <w:rFonts w:ascii="Google Sans" w:cs="Google Sans" w:eastAsia="Google Sans" w:hAnsi="Google Sans"/>
            <w:color w:val="0000ee"/>
            <w:sz w:val="24"/>
            <w:szCs w:val="24"/>
            <w:u w:val="single"/>
            <w:rtl w:val="0"/>
          </w:rPr>
          <w:t xml:space="preserve">https://www.thecore.in/business/self-driving-cars-india-assisted-driving-systems-547999</w:t>
        </w:r>
      </w:hyperlink>
      <w:r w:rsidDel="00000000" w:rsidR="00000000" w:rsidRPr="00000000">
        <w:rPr>
          <w:rtl w:val="0"/>
        </w:rPr>
      </w:r>
    </w:p>
    <w:p w:rsidR="00000000" w:rsidDel="00000000" w:rsidP="00000000" w:rsidRDefault="00000000" w:rsidRPr="00000000" w14:paraId="0000012D">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does India's 2026 heavy vehicle ADAS mandate mean for testing? - AB Dynamics, </w:t>
      </w:r>
      <w:hyperlink r:id="rId86">
        <w:r w:rsidDel="00000000" w:rsidR="00000000" w:rsidRPr="00000000">
          <w:rPr>
            <w:rFonts w:ascii="Google Sans" w:cs="Google Sans" w:eastAsia="Google Sans" w:hAnsi="Google Sans"/>
            <w:color w:val="0000ee"/>
            <w:sz w:val="24"/>
            <w:szCs w:val="24"/>
            <w:u w:val="single"/>
            <w:rtl w:val="0"/>
          </w:rPr>
          <w:t xml:space="preserve">https://www.abdynamics.com/what-does-indias-2026-heavy-vehicle-adas-mandate-mean-for-testing/</w:t>
        </w:r>
      </w:hyperlink>
      <w:r w:rsidDel="00000000" w:rsidR="00000000" w:rsidRPr="00000000">
        <w:rPr>
          <w:rtl w:val="0"/>
        </w:rPr>
      </w:r>
    </w:p>
    <w:p w:rsidR="00000000" w:rsidDel="00000000" w:rsidP="00000000" w:rsidRDefault="00000000" w:rsidRPr="00000000" w14:paraId="0000012E">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Documentation and Traceability Burden of India's EV Transition: A Systematisation from an Information-Systems Perspective - arXiv, </w:t>
      </w:r>
      <w:hyperlink r:id="rId87">
        <w:r w:rsidDel="00000000" w:rsidR="00000000" w:rsidRPr="00000000">
          <w:rPr>
            <w:rFonts w:ascii="Google Sans" w:cs="Google Sans" w:eastAsia="Google Sans" w:hAnsi="Google Sans"/>
            <w:color w:val="0000ee"/>
            <w:sz w:val="24"/>
            <w:szCs w:val="24"/>
            <w:u w:val="single"/>
            <w:rtl w:val="0"/>
          </w:rPr>
          <w:t xml:space="preserve">https://arxiv.org/html/2607.06170v1</w:t>
        </w:r>
      </w:hyperlink>
      <w:r w:rsidDel="00000000" w:rsidR="00000000" w:rsidRPr="00000000">
        <w:rPr>
          <w:rtl w:val="0"/>
        </w:rPr>
      </w:r>
    </w:p>
    <w:p w:rsidR="00000000" w:rsidDel="00000000" w:rsidP="00000000" w:rsidRDefault="00000000" w:rsidRPr="00000000" w14:paraId="0000012F">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WASL Compliance for Fleets in Saudi Arabia - IPTech, </w:t>
      </w:r>
      <w:hyperlink r:id="rId88">
        <w:r w:rsidDel="00000000" w:rsidR="00000000" w:rsidRPr="00000000">
          <w:rPr>
            <w:rFonts w:ascii="Google Sans" w:cs="Google Sans" w:eastAsia="Google Sans" w:hAnsi="Google Sans"/>
            <w:color w:val="0000ee"/>
            <w:sz w:val="24"/>
            <w:szCs w:val="24"/>
            <w:u w:val="single"/>
            <w:rtl w:val="0"/>
          </w:rPr>
          <w:t xml:space="preserve">https://iptech.com.sa/wasl-compliance</w:t>
        </w:r>
      </w:hyperlink>
      <w:r w:rsidDel="00000000" w:rsidR="00000000" w:rsidRPr="00000000">
        <w:rPr>
          <w:rtl w:val="0"/>
        </w:rPr>
      </w:r>
    </w:p>
    <w:p w:rsidR="00000000" w:rsidDel="00000000" w:rsidP="00000000" w:rsidRDefault="00000000" w:rsidRPr="00000000" w14:paraId="00000130">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AIS 189 and AIS 190 Guide for Indian Automotive Cybersecurity and Software Updates, </w:t>
      </w:r>
      <w:hyperlink r:id="rId89">
        <w:r w:rsidDel="00000000" w:rsidR="00000000" w:rsidRPr="00000000">
          <w:rPr>
            <w:rFonts w:ascii="Google Sans" w:cs="Google Sans" w:eastAsia="Google Sans" w:hAnsi="Google Sans"/>
            <w:color w:val="0000ee"/>
            <w:sz w:val="24"/>
            <w:szCs w:val="24"/>
            <w:u w:val="single"/>
            <w:rtl w:val="0"/>
          </w:rPr>
          <w:t xml:space="preserve">https://agnile.com/resources/ais-189-190-guide</w:t>
        </w:r>
      </w:hyperlink>
      <w:r w:rsidDel="00000000" w:rsidR="00000000" w:rsidRPr="00000000">
        <w:rPr>
          <w:rtl w:val="0"/>
        </w:rPr>
      </w:r>
    </w:p>
    <w:p w:rsidR="00000000" w:rsidDel="00000000" w:rsidP="00000000" w:rsidRDefault="00000000" w:rsidRPr="00000000" w14:paraId="00000131">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Swaayatt Robots, </w:t>
      </w:r>
      <w:hyperlink r:id="rId90">
        <w:r w:rsidDel="00000000" w:rsidR="00000000" w:rsidRPr="00000000">
          <w:rPr>
            <w:rFonts w:ascii="Google Sans" w:cs="Google Sans" w:eastAsia="Google Sans" w:hAnsi="Google Sans"/>
            <w:color w:val="0000ee"/>
            <w:sz w:val="24"/>
            <w:szCs w:val="24"/>
            <w:u w:val="single"/>
            <w:rtl w:val="0"/>
          </w:rPr>
          <w:t xml:space="preserve">https://www.swaayattrobots.com/</w:t>
        </w:r>
      </w:hyperlink>
      <w:r w:rsidDel="00000000" w:rsidR="00000000" w:rsidRPr="00000000">
        <w:rPr>
          <w:rtl w:val="0"/>
        </w:rPr>
      </w:r>
    </w:p>
    <w:p w:rsidR="00000000" w:rsidDel="00000000" w:rsidP="00000000" w:rsidRDefault="00000000" w:rsidRPr="00000000" w14:paraId="00000132">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Logistics Tracking System Saudi Arabia — Wasl &amp; TGA Compliant - IOTee, </w:t>
      </w:r>
      <w:hyperlink r:id="rId91">
        <w:r w:rsidDel="00000000" w:rsidR="00000000" w:rsidRPr="00000000">
          <w:rPr>
            <w:rFonts w:ascii="Google Sans" w:cs="Google Sans" w:eastAsia="Google Sans" w:hAnsi="Google Sans"/>
            <w:color w:val="0000ee"/>
            <w:sz w:val="24"/>
            <w:szCs w:val="24"/>
            <w:u w:val="single"/>
            <w:rtl w:val="0"/>
          </w:rPr>
          <w:t xml:space="preserve">https://iotee.co/en/services/logistics-tracking</w:t>
        </w:r>
      </w:hyperlink>
      <w:r w:rsidDel="00000000" w:rsidR="00000000" w:rsidRPr="00000000">
        <w:rPr>
          <w:rtl w:val="0"/>
        </w:rPr>
      </w:r>
    </w:p>
    <w:p w:rsidR="00000000" w:rsidDel="00000000" w:rsidP="00000000" w:rsidRDefault="00000000" w:rsidRPr="00000000" w14:paraId="00000133">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road ahead: Autonomous vehicle manufacturing and adoption in the GCC | Deloitte Middle East, </w:t>
      </w:r>
      <w:hyperlink r:id="rId92">
        <w:r w:rsidDel="00000000" w:rsidR="00000000" w:rsidRPr="00000000">
          <w:rPr>
            <w:rFonts w:ascii="Google Sans" w:cs="Google Sans" w:eastAsia="Google Sans" w:hAnsi="Google Sans"/>
            <w:color w:val="0000ee"/>
            <w:sz w:val="24"/>
            <w:szCs w:val="24"/>
            <w:u w:val="single"/>
            <w:rtl w:val="0"/>
          </w:rPr>
          <w:t xml:space="preserve">https://www.deloitte.com/middle-east/en/our-thinking/mepov-magazine/next-generation-business/the-road-ahead-autonomous-vehicle-manufacturing-and-adoption-the-gcc.html</w:t>
        </w:r>
      </w:hyperlink>
      <w:r w:rsidDel="00000000" w:rsidR="00000000" w:rsidRPr="00000000">
        <w:rPr>
          <w:rtl w:val="0"/>
        </w:rPr>
      </w:r>
    </w:p>
    <w:p w:rsidR="00000000" w:rsidDel="00000000" w:rsidP="00000000" w:rsidRDefault="00000000" w:rsidRPr="00000000" w14:paraId="00000134">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Mindgrove - 2026 Company Profile, Team, Funding, Competitors &amp; Financials - Tracxn, </w:t>
      </w:r>
      <w:hyperlink r:id="rId93">
        <w:r w:rsidDel="00000000" w:rsidR="00000000" w:rsidRPr="00000000">
          <w:rPr>
            <w:rFonts w:ascii="Google Sans" w:cs="Google Sans" w:eastAsia="Google Sans" w:hAnsi="Google Sans"/>
            <w:color w:val="0000ee"/>
            <w:sz w:val="24"/>
            <w:szCs w:val="24"/>
            <w:u w:val="single"/>
            <w:rtl w:val="0"/>
          </w:rPr>
          <w:t xml:space="preserve">https://tracxn.com/d/companies/mindgrove/__-Do6jVQlyS_861Dm7fKw-MqtJebC3YaKQEosnRMrZvQ</w:t>
        </w:r>
      </w:hyperlink>
      <w:r w:rsidDel="00000000" w:rsidR="00000000" w:rsidRPr="00000000">
        <w:rPr>
          <w:rtl w:val="0"/>
        </w:rPr>
      </w:r>
    </w:p>
    <w:p w:rsidR="00000000" w:rsidDel="00000000" w:rsidP="00000000" w:rsidRDefault="00000000" w:rsidRPr="00000000" w14:paraId="00000135">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Netrasemi's A2000 Chip Goes Production-Ready — India's 3 Chip Startups Race to 2027, </w:t>
      </w:r>
      <w:hyperlink r:id="rId94">
        <w:r w:rsidDel="00000000" w:rsidR="00000000" w:rsidRPr="00000000">
          <w:rPr>
            <w:rFonts w:ascii="Google Sans" w:cs="Google Sans" w:eastAsia="Google Sans" w:hAnsi="Google Sans"/>
            <w:color w:val="0000ee"/>
            <w:sz w:val="24"/>
            <w:szCs w:val="24"/>
            <w:u w:val="single"/>
            <w:rtl w:val="0"/>
          </w:rPr>
          <w:t xml:space="preserve">https://www.niftytrader.in/markets/netrasemis-a2000-chip-production-ready2027/</w:t>
        </w:r>
      </w:hyperlink>
      <w:r w:rsidDel="00000000" w:rsidR="00000000" w:rsidRPr="00000000">
        <w:rPr>
          <w:rtl w:val="0"/>
        </w:rPr>
      </w:r>
    </w:p>
    <w:p w:rsidR="00000000" w:rsidDel="00000000" w:rsidP="00000000" w:rsidRDefault="00000000" w:rsidRPr="00000000" w14:paraId="00000136">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Mindgrove: Funding, Team &amp; Investors | Startup Intros, </w:t>
      </w:r>
      <w:hyperlink r:id="rId95">
        <w:r w:rsidDel="00000000" w:rsidR="00000000" w:rsidRPr="00000000">
          <w:rPr>
            <w:rFonts w:ascii="Google Sans" w:cs="Google Sans" w:eastAsia="Google Sans" w:hAnsi="Google Sans"/>
            <w:color w:val="0000ee"/>
            <w:sz w:val="24"/>
            <w:szCs w:val="24"/>
            <w:u w:val="single"/>
            <w:rtl w:val="0"/>
          </w:rPr>
          <w:t xml:space="preserve">https://startupintros.com/orgs/mindgrove</w:t>
        </w:r>
      </w:hyperlink>
      <w:r w:rsidDel="00000000" w:rsidR="00000000" w:rsidRPr="00000000">
        <w:rPr>
          <w:rtl w:val="0"/>
        </w:rPr>
      </w:r>
    </w:p>
    <w:p w:rsidR="00000000" w:rsidDel="00000000" w:rsidP="00000000" w:rsidRDefault="00000000" w:rsidRPr="00000000" w14:paraId="00000137">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Top Autonomous Vehicle Startups by Fundraising (2026) - New Market Pitch, </w:t>
      </w:r>
      <w:hyperlink r:id="rId96">
        <w:r w:rsidDel="00000000" w:rsidR="00000000" w:rsidRPr="00000000">
          <w:rPr>
            <w:rFonts w:ascii="Google Sans" w:cs="Google Sans" w:eastAsia="Google Sans" w:hAnsi="Google Sans"/>
            <w:color w:val="0000ee"/>
            <w:sz w:val="24"/>
            <w:szCs w:val="24"/>
            <w:u w:val="single"/>
            <w:rtl w:val="0"/>
          </w:rPr>
          <w:t xml:space="preserve">https://newmarketpitch.com/blogs/news/autonomous-vehicle-top-startups-fundraising</w:t>
        </w:r>
      </w:hyperlink>
      <w:r w:rsidDel="00000000" w:rsidR="00000000" w:rsidRPr="00000000">
        <w:rPr>
          <w:rtl w:val="0"/>
        </w:rPr>
      </w:r>
    </w:p>
    <w:p w:rsidR="00000000" w:rsidDel="00000000" w:rsidP="00000000" w:rsidRDefault="00000000" w:rsidRPr="00000000" w14:paraId="00000138">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Netrasemi Funding 2026 – Total Funding, Rounds &amp; Investors - Inc42, </w:t>
      </w:r>
      <w:hyperlink r:id="rId97">
        <w:r w:rsidDel="00000000" w:rsidR="00000000" w:rsidRPr="00000000">
          <w:rPr>
            <w:rFonts w:ascii="Google Sans" w:cs="Google Sans" w:eastAsia="Google Sans" w:hAnsi="Google Sans"/>
            <w:color w:val="0000ee"/>
            <w:sz w:val="24"/>
            <w:szCs w:val="24"/>
            <w:u w:val="single"/>
            <w:rtl w:val="0"/>
          </w:rPr>
          <w:t xml:space="preserve">https://inc42.com/company/netrasemi/funding/</w:t>
        </w:r>
      </w:hyperlink>
      <w:r w:rsidDel="00000000" w:rsidR="00000000" w:rsidRPr="00000000">
        <w:rPr>
          <w:rtl w:val="0"/>
        </w:rPr>
      </w:r>
    </w:p>
    <w:p w:rsidR="00000000" w:rsidDel="00000000" w:rsidP="00000000" w:rsidRDefault="00000000" w:rsidRPr="00000000" w14:paraId="00000139">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Netrasemi 2026 Company Profile: Valuation, Funding &amp; Investors - PitchBook, </w:t>
      </w:r>
      <w:hyperlink r:id="rId98">
        <w:r w:rsidDel="00000000" w:rsidR="00000000" w:rsidRPr="00000000">
          <w:rPr>
            <w:rFonts w:ascii="Google Sans" w:cs="Google Sans" w:eastAsia="Google Sans" w:hAnsi="Google Sans"/>
            <w:color w:val="0000ee"/>
            <w:sz w:val="24"/>
            <w:szCs w:val="24"/>
            <w:u w:val="single"/>
            <w:rtl w:val="0"/>
          </w:rPr>
          <w:t xml:space="preserve">https://pitchbook.com/profiles/company/567492-40</w:t>
        </w:r>
      </w:hyperlink>
      <w:r w:rsidDel="00000000" w:rsidR="00000000" w:rsidRPr="00000000">
        <w:rPr>
          <w:rtl w:val="0"/>
        </w:rPr>
      </w:r>
    </w:p>
    <w:p w:rsidR="00000000" w:rsidDel="00000000" w:rsidP="00000000" w:rsidRDefault="00000000" w:rsidRPr="00000000" w14:paraId="0000013A">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Netrasemi: Funding, Team &amp; Investors | Startup Intros, </w:t>
      </w:r>
      <w:hyperlink r:id="rId99">
        <w:r w:rsidDel="00000000" w:rsidR="00000000" w:rsidRPr="00000000">
          <w:rPr>
            <w:rFonts w:ascii="Google Sans" w:cs="Google Sans" w:eastAsia="Google Sans" w:hAnsi="Google Sans"/>
            <w:color w:val="0000ee"/>
            <w:sz w:val="24"/>
            <w:szCs w:val="24"/>
            <w:u w:val="single"/>
            <w:rtl w:val="0"/>
          </w:rPr>
          <w:t xml:space="preserve">https://startupintros.com/orgs/netrasemi</w:t>
        </w:r>
      </w:hyperlink>
      <w:r w:rsidDel="00000000" w:rsidR="00000000" w:rsidRPr="00000000">
        <w:rPr>
          <w:rtl w:val="0"/>
        </w:rPr>
      </w:r>
    </w:p>
    <w:p w:rsidR="00000000" w:rsidDel="00000000" w:rsidP="00000000" w:rsidRDefault="00000000" w:rsidRPr="00000000" w14:paraId="0000013B">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AGNIT Semiconductors - 2026 Company Profile, Team, Funding, Competitors &amp; Financials, </w:t>
      </w:r>
      <w:hyperlink r:id="rId100">
        <w:r w:rsidDel="00000000" w:rsidR="00000000" w:rsidRPr="00000000">
          <w:rPr>
            <w:rFonts w:ascii="Google Sans" w:cs="Google Sans" w:eastAsia="Google Sans" w:hAnsi="Google Sans"/>
            <w:color w:val="0000ee"/>
            <w:sz w:val="24"/>
            <w:szCs w:val="24"/>
            <w:u w:val="single"/>
            <w:rtl w:val="0"/>
          </w:rPr>
          <w:t xml:space="preserve">https://tracxn.com/d/companies/agnit-semiconductors/__XHueec5X-6e0FajX2npH4wljJ2MYBYnV9Lu4FTLcp2o</w:t>
        </w:r>
      </w:hyperlink>
      <w:r w:rsidDel="00000000" w:rsidR="00000000" w:rsidRPr="00000000">
        <w:rPr>
          <w:rtl w:val="0"/>
        </w:rPr>
      </w:r>
    </w:p>
    <w:p w:rsidR="00000000" w:rsidDel="00000000" w:rsidP="00000000" w:rsidRDefault="00000000" w:rsidRPr="00000000" w14:paraId="0000013C">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AGNIT Semiconductors Bolsters India's Deep-Tech Ambitions with $2.6M Funding, </w:t>
      </w:r>
      <w:hyperlink r:id="rId101">
        <w:r w:rsidDel="00000000" w:rsidR="00000000" w:rsidRPr="00000000">
          <w:rPr>
            <w:rFonts w:ascii="Google Sans" w:cs="Google Sans" w:eastAsia="Google Sans" w:hAnsi="Google Sans"/>
            <w:color w:val="0000ee"/>
            <w:sz w:val="24"/>
            <w:szCs w:val="24"/>
            <w:u w:val="single"/>
            <w:rtl w:val="0"/>
          </w:rPr>
          <w:t xml:space="preserve">https://www.bisinfotech.com/agnit-semiconductors-bolsters-indias-deep-tech-ambitions-with-2-6m-funding/</w:t>
        </w:r>
      </w:hyperlink>
      <w:r w:rsidDel="00000000" w:rsidR="00000000" w:rsidRPr="00000000">
        <w:rPr>
          <w:rtl w:val="0"/>
        </w:rPr>
      </w:r>
    </w:p>
    <w:p w:rsidR="00000000" w:rsidDel="00000000" w:rsidP="00000000" w:rsidRDefault="00000000" w:rsidRPr="00000000" w14:paraId="0000013D">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Minus Zero's zPod - India's First AI-Driven Autonomous Vehicle - Analytics Vidhya, </w:t>
      </w:r>
      <w:hyperlink r:id="rId102">
        <w:r w:rsidDel="00000000" w:rsidR="00000000" w:rsidRPr="00000000">
          <w:rPr>
            <w:rFonts w:ascii="Google Sans" w:cs="Google Sans" w:eastAsia="Google Sans" w:hAnsi="Google Sans"/>
            <w:color w:val="0000ee"/>
            <w:sz w:val="24"/>
            <w:szCs w:val="24"/>
            <w:u w:val="single"/>
            <w:rtl w:val="0"/>
          </w:rPr>
          <w:t xml:space="preserve">https://www.analyticsvidhya.com/blog/2023/06/minus-zeros-zpod-indias-first-ai-driven-autonomous-vehicle/</w:t>
        </w:r>
      </w:hyperlink>
      <w:r w:rsidDel="00000000" w:rsidR="00000000" w:rsidRPr="00000000">
        <w:rPr>
          <w:rtl w:val="0"/>
        </w:rPr>
      </w:r>
    </w:p>
    <w:p w:rsidR="00000000" w:rsidDel="00000000" w:rsidP="00000000" w:rsidRDefault="00000000" w:rsidRPr="00000000" w14:paraId="0000013E">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Minus Zero Unveils AI Autopilot That Navigates Cattle and Carts on Indian Roads, </w:t>
      </w:r>
      <w:hyperlink r:id="rId103">
        <w:r w:rsidDel="00000000" w:rsidR="00000000" w:rsidRPr="00000000">
          <w:rPr>
            <w:rFonts w:ascii="Google Sans" w:cs="Google Sans" w:eastAsia="Google Sans" w:hAnsi="Google Sans"/>
            <w:color w:val="0000ee"/>
            <w:sz w:val="24"/>
            <w:szCs w:val="24"/>
            <w:u w:val="single"/>
            <w:rtl w:val="0"/>
          </w:rPr>
          <w:t xml:space="preserve">https://www.equitypandit.com/minus-zero-unveils-ai-autopilot-that-navigates-cattle-and-carts-on-indian-roads/</w:t>
        </w:r>
      </w:hyperlink>
      <w:r w:rsidDel="00000000" w:rsidR="00000000" w:rsidRPr="00000000">
        <w:rPr>
          <w:rtl w:val="0"/>
        </w:rPr>
      </w:r>
    </w:p>
    <w:p w:rsidR="00000000" w:rsidDel="00000000" w:rsidP="00000000" w:rsidRDefault="00000000" w:rsidRPr="00000000" w14:paraId="0000013F">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Minus Zero: Full Stack AI for ADAS/AD, </w:t>
      </w:r>
      <w:hyperlink r:id="rId104">
        <w:r w:rsidDel="00000000" w:rsidR="00000000" w:rsidRPr="00000000">
          <w:rPr>
            <w:rFonts w:ascii="Google Sans" w:cs="Google Sans" w:eastAsia="Google Sans" w:hAnsi="Google Sans"/>
            <w:color w:val="0000ee"/>
            <w:sz w:val="24"/>
            <w:szCs w:val="24"/>
            <w:u w:val="single"/>
            <w:rtl w:val="0"/>
          </w:rPr>
          <w:t xml:space="preserve">https://minuszero.ai/</w:t>
        </w:r>
      </w:hyperlink>
      <w:r w:rsidDel="00000000" w:rsidR="00000000" w:rsidRPr="00000000">
        <w:rPr>
          <w:rtl w:val="0"/>
        </w:rPr>
      </w:r>
    </w:p>
    <w:p w:rsidR="00000000" w:rsidDel="00000000" w:rsidP="00000000" w:rsidRDefault="00000000" w:rsidRPr="00000000" w14:paraId="00000140">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based self driving tech start up Minus Zero unveils India's first fully autonomous vehicle, </w:t>
      </w:r>
      <w:hyperlink r:id="rId105">
        <w:r w:rsidDel="00000000" w:rsidR="00000000" w:rsidRPr="00000000">
          <w:rPr>
            <w:rFonts w:ascii="Google Sans" w:cs="Google Sans" w:eastAsia="Google Sans" w:hAnsi="Google Sans"/>
            <w:color w:val="0000ee"/>
            <w:sz w:val="24"/>
            <w:szCs w:val="24"/>
            <w:u w:val="single"/>
            <w:rtl w:val="0"/>
          </w:rPr>
          <w:t xml:space="preserve">https://www.businesstoday.in/entrepreneurship/news/story/ai-based-self-driving-tech-start-up-minus-zero-unveils-indias-first-fully-autonomous-vehicle-384125-2023-06-04</w:t>
        </w:r>
      </w:hyperlink>
      <w:r w:rsidDel="00000000" w:rsidR="00000000" w:rsidRPr="00000000">
        <w:rPr>
          <w:rtl w:val="0"/>
        </w:rPr>
      </w:r>
    </w:p>
    <w:p w:rsidR="00000000" w:rsidDel="00000000" w:rsidP="00000000" w:rsidRDefault="00000000" w:rsidRPr="00000000" w14:paraId="00000141">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Swaayatt Robots - 2026 Company Profile, Team, Funding, Competitors &amp; Financials, </w:t>
      </w:r>
      <w:hyperlink r:id="rId106">
        <w:r w:rsidDel="00000000" w:rsidR="00000000" w:rsidRPr="00000000">
          <w:rPr>
            <w:rFonts w:ascii="Google Sans" w:cs="Google Sans" w:eastAsia="Google Sans" w:hAnsi="Google Sans"/>
            <w:color w:val="0000ee"/>
            <w:sz w:val="24"/>
            <w:szCs w:val="24"/>
            <w:u w:val="single"/>
            <w:rtl w:val="0"/>
          </w:rPr>
          <w:t xml:space="preserve">https://tracxn.com/d/companies/swaayatt-robots/__u8mmLvfsdgtXBeF-in5PeUUNBPK9QHjOw_2HCUF41SE</w:t>
        </w:r>
      </w:hyperlink>
      <w:r w:rsidDel="00000000" w:rsidR="00000000" w:rsidRPr="00000000">
        <w:rPr>
          <w:rtl w:val="0"/>
        </w:rPr>
      </w:r>
    </w:p>
    <w:p w:rsidR="00000000" w:rsidDel="00000000" w:rsidP="00000000" w:rsidRDefault="00000000" w:rsidRPr="00000000" w14:paraId="00000142">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Swaayatt Robots developing autonomous driving tech in India - EVreporter, </w:t>
      </w:r>
      <w:hyperlink r:id="rId107">
        <w:r w:rsidDel="00000000" w:rsidR="00000000" w:rsidRPr="00000000">
          <w:rPr>
            <w:rFonts w:ascii="Google Sans" w:cs="Google Sans" w:eastAsia="Google Sans" w:hAnsi="Google Sans"/>
            <w:color w:val="0000ee"/>
            <w:sz w:val="24"/>
            <w:szCs w:val="24"/>
            <w:u w:val="single"/>
            <w:rtl w:val="0"/>
          </w:rPr>
          <w:t xml:space="preserve">https://evreporter.com/swaayatt-robots-developing-autonomous-driving-tech-in-india/</w:t>
        </w:r>
      </w:hyperlink>
      <w:r w:rsidDel="00000000" w:rsidR="00000000" w:rsidRPr="00000000">
        <w:rPr>
          <w:rtl w:val="0"/>
        </w:rPr>
      </w:r>
    </w:p>
    <w:p w:rsidR="00000000" w:rsidDel="00000000" w:rsidP="00000000" w:rsidRDefault="00000000" w:rsidRPr="00000000" w14:paraId="00000143">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RoshAi - 2026 Company Profile, Team, Funding, Competitors &amp; Financials - Tracxn, </w:t>
      </w:r>
      <w:hyperlink r:id="rId108">
        <w:r w:rsidDel="00000000" w:rsidR="00000000" w:rsidRPr="00000000">
          <w:rPr>
            <w:rFonts w:ascii="Google Sans" w:cs="Google Sans" w:eastAsia="Google Sans" w:hAnsi="Google Sans"/>
            <w:color w:val="0000ee"/>
            <w:sz w:val="24"/>
            <w:szCs w:val="24"/>
            <w:u w:val="single"/>
            <w:rtl w:val="0"/>
          </w:rPr>
          <w:t xml:space="preserve">https://tracxn.com/d/companies/roshai/__K29xlAvYRv8uVRqaDDxfxhRGpZ6WNbj1wGSSbQ5Vtb0</w:t>
        </w:r>
      </w:hyperlink>
      <w:r w:rsidDel="00000000" w:rsidR="00000000" w:rsidRPr="00000000">
        <w:rPr>
          <w:rtl w:val="0"/>
        </w:rPr>
      </w:r>
    </w:p>
    <w:p w:rsidR="00000000" w:rsidDel="00000000" w:rsidP="00000000" w:rsidRDefault="00000000" w:rsidRPr="00000000" w14:paraId="00000144">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12 companies innovating in AI for electric vehicles - FounderNest, </w:t>
      </w:r>
      <w:hyperlink r:id="rId109">
        <w:r w:rsidDel="00000000" w:rsidR="00000000" w:rsidRPr="00000000">
          <w:rPr>
            <w:rFonts w:ascii="Google Sans" w:cs="Google Sans" w:eastAsia="Google Sans" w:hAnsi="Google Sans"/>
            <w:color w:val="0000ee"/>
            <w:sz w:val="24"/>
            <w:szCs w:val="24"/>
            <w:u w:val="single"/>
            <w:rtl w:val="0"/>
          </w:rPr>
          <w:t xml:space="preserve">https://www.foundernest.com/insights/12-companies-innovating-in-ai-for-electric-vehicles</w:t>
        </w:r>
      </w:hyperlink>
      <w:r w:rsidDel="00000000" w:rsidR="00000000" w:rsidRPr="00000000">
        <w:rPr>
          <w:rtl w:val="0"/>
        </w:rPr>
      </w:r>
    </w:p>
    <w:p w:rsidR="00000000" w:rsidDel="00000000" w:rsidP="00000000" w:rsidRDefault="00000000" w:rsidRPr="00000000" w14:paraId="00000145">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Autonomous A2Z secures 40.5 billion won pre-IPO funding for global expansion and AI projects - Automotive Technology Insight | Forecasts | Industry News | Supply Chain, </w:t>
      </w:r>
      <w:hyperlink r:id="rId110">
        <w:r w:rsidDel="00000000" w:rsidR="00000000" w:rsidRPr="00000000">
          <w:rPr>
            <w:rFonts w:ascii="Google Sans" w:cs="Google Sans" w:eastAsia="Google Sans" w:hAnsi="Google Sans"/>
            <w:color w:val="0000ee"/>
            <w:sz w:val="24"/>
            <w:szCs w:val="24"/>
            <w:u w:val="single"/>
            <w:rtl w:val="0"/>
          </w:rPr>
          <w:t xml:space="preserve">https://autotechinsight.spglobal.com/news/5287184/autonomous-a2z-secures-405-billion-won-pre-ipo-funding-for-global-expansion-and-ai-projects</w:t>
        </w:r>
      </w:hyperlink>
      <w:r w:rsidDel="00000000" w:rsidR="00000000" w:rsidRPr="00000000">
        <w:rPr>
          <w:rtl w:val="0"/>
        </w:rPr>
      </w:r>
    </w:p>
    <w:p w:rsidR="00000000" w:rsidDel="00000000" w:rsidP="00000000" w:rsidRDefault="00000000" w:rsidRPr="00000000" w14:paraId="00000146">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to Apply for the Semiconductor Design Linked Incentive (DLI) Scheme - NirmanKit, </w:t>
      </w:r>
      <w:hyperlink r:id="rId111">
        <w:r w:rsidDel="00000000" w:rsidR="00000000" w:rsidRPr="00000000">
          <w:rPr>
            <w:rFonts w:ascii="Google Sans" w:cs="Google Sans" w:eastAsia="Google Sans" w:hAnsi="Google Sans"/>
            <w:color w:val="0000ee"/>
            <w:sz w:val="24"/>
            <w:szCs w:val="24"/>
            <w:u w:val="single"/>
            <w:rtl w:val="0"/>
          </w:rPr>
          <w:t xml:space="preserve">https://www.nirmankit.in/learn/semiconductor-dli-how-to</w:t>
        </w:r>
      </w:hyperlink>
      <w:r w:rsidDel="00000000" w:rsidR="00000000" w:rsidRPr="00000000">
        <w:rPr>
          <w:rtl w:val="0"/>
        </w:rPr>
      </w:r>
    </w:p>
    <w:p w:rsidR="00000000" w:rsidDel="00000000" w:rsidP="00000000" w:rsidRDefault="00000000" w:rsidRPr="00000000" w14:paraId="00000147">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India's DLI Scheme: Self-Reliant Semiconductor Design - KP IAS Academy, </w:t>
      </w:r>
      <w:hyperlink r:id="rId112">
        <w:r w:rsidDel="00000000" w:rsidR="00000000" w:rsidRPr="00000000">
          <w:rPr>
            <w:rFonts w:ascii="Google Sans" w:cs="Google Sans" w:eastAsia="Google Sans" w:hAnsi="Google Sans"/>
            <w:color w:val="0000ee"/>
            <w:sz w:val="24"/>
            <w:szCs w:val="24"/>
            <w:u w:val="single"/>
            <w:rtl w:val="0"/>
          </w:rPr>
          <w:t xml:space="preserve">https://kpiasacademy.com/indias-design-linked-incentive-scheme-semiconductor-design/</w:t>
        </w:r>
      </w:hyperlink>
      <w:r w:rsidDel="00000000" w:rsidR="00000000" w:rsidRPr="00000000">
        <w:rPr>
          <w:rtl w:val="0"/>
        </w:rPr>
      </w:r>
    </w:p>
    <w:p w:rsidR="00000000" w:rsidDel="00000000" w:rsidP="00000000" w:rsidRDefault="00000000" w:rsidRPr="00000000" w14:paraId="00000148">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Design Linked Incentive (DLI) Scheme - PIB, </w:t>
      </w:r>
      <w:hyperlink r:id="rId113">
        <w:r w:rsidDel="00000000" w:rsidR="00000000" w:rsidRPr="00000000">
          <w:rPr>
            <w:rFonts w:ascii="Google Sans" w:cs="Google Sans" w:eastAsia="Google Sans" w:hAnsi="Google Sans"/>
            <w:color w:val="0000ee"/>
            <w:sz w:val="24"/>
            <w:szCs w:val="24"/>
            <w:u w:val="single"/>
            <w:rtl w:val="0"/>
          </w:rPr>
          <w:t xml:space="preserve">https://www.pib.gov.in/PressReleasePage.aspx?PRID=2211220®=3&amp;lang=1</w:t>
        </w:r>
      </w:hyperlink>
      <w:r w:rsidDel="00000000" w:rsidR="00000000" w:rsidRPr="00000000">
        <w:rPr>
          <w:rtl w:val="0"/>
        </w:rPr>
      </w:r>
    </w:p>
    <w:p w:rsidR="00000000" w:rsidDel="00000000" w:rsidP="00000000" w:rsidRDefault="00000000" w:rsidRPr="00000000" w14:paraId="00000149">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Design Linked Incentive (DLI) Scheme: Catalysing India's Semiconductor Design Ecosystem - YUVA Competitive Academy, </w:t>
      </w:r>
      <w:hyperlink r:id="rId114">
        <w:r w:rsidDel="00000000" w:rsidR="00000000" w:rsidRPr="00000000">
          <w:rPr>
            <w:rFonts w:ascii="Google Sans" w:cs="Google Sans" w:eastAsia="Google Sans" w:hAnsi="Google Sans"/>
            <w:color w:val="0000ee"/>
            <w:sz w:val="24"/>
            <w:szCs w:val="24"/>
            <w:u w:val="single"/>
            <w:rtl w:val="0"/>
          </w:rPr>
          <w:t xml:space="preserve">https://yuvacompetitiveacademy.com/articles/design-linked-incentive-dli-scheme-catalysing-indias-semiconductor-design-ecosystem/</w:t>
        </w:r>
      </w:hyperlink>
      <w:r w:rsidDel="00000000" w:rsidR="00000000" w:rsidRPr="00000000">
        <w:rPr>
          <w:rtl w:val="0"/>
        </w:rPr>
      </w:r>
    </w:p>
    <w:p w:rsidR="00000000" w:rsidDel="00000000" w:rsidP="00000000" w:rsidRDefault="00000000" w:rsidRPr="00000000" w14:paraId="0000014A">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Foundry Engagement Guide: From MPW Shuttle to Production (2026) - Silicon Analysts, </w:t>
      </w:r>
      <w:hyperlink r:id="rId115">
        <w:r w:rsidDel="00000000" w:rsidR="00000000" w:rsidRPr="00000000">
          <w:rPr>
            <w:rFonts w:ascii="Google Sans" w:cs="Google Sans" w:eastAsia="Google Sans" w:hAnsi="Google Sans"/>
            <w:color w:val="0000ee"/>
            <w:sz w:val="24"/>
            <w:szCs w:val="24"/>
            <w:u w:val="single"/>
            <w:rtl w:val="0"/>
          </w:rPr>
          <w:t xml:space="preserve">https://siliconanalysts.com/guide/foundry-engagement</w:t>
        </w:r>
      </w:hyperlink>
      <w:r w:rsidDel="00000000" w:rsidR="00000000" w:rsidRPr="00000000">
        <w:rPr>
          <w:rtl w:val="0"/>
        </w:rPr>
      </w:r>
    </w:p>
    <w:p w:rsidR="00000000" w:rsidDel="00000000" w:rsidP="00000000" w:rsidRDefault="00000000" w:rsidRPr="00000000" w14:paraId="0000014B">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Design Linked Incentive (DLI) Scheme | Current Affairs - Shankar IAS Parliament, </w:t>
      </w:r>
      <w:hyperlink r:id="rId116">
        <w:r w:rsidDel="00000000" w:rsidR="00000000" w:rsidRPr="00000000">
          <w:rPr>
            <w:rFonts w:ascii="Google Sans" w:cs="Google Sans" w:eastAsia="Google Sans" w:hAnsi="Google Sans"/>
            <w:color w:val="0000ee"/>
            <w:sz w:val="24"/>
            <w:szCs w:val="24"/>
            <w:u w:val="single"/>
            <w:rtl w:val="0"/>
          </w:rPr>
          <w:t xml:space="preserve">https://www.shankariasparliament.com/current-affairs/design-linked-incentive-dli-scheme</w:t>
        </w:r>
      </w:hyperlink>
      <w:r w:rsidDel="00000000" w:rsidR="00000000" w:rsidRPr="00000000">
        <w:rPr>
          <w:rtl w:val="0"/>
        </w:rPr>
      </w:r>
    </w:p>
    <w:p w:rsidR="00000000" w:rsidDel="00000000" w:rsidP="00000000" w:rsidRDefault="00000000" w:rsidRPr="00000000" w14:paraId="0000014C">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Design Linked Incentive Scheme, </w:t>
      </w:r>
      <w:hyperlink r:id="rId117">
        <w:r w:rsidDel="00000000" w:rsidR="00000000" w:rsidRPr="00000000">
          <w:rPr>
            <w:rFonts w:ascii="Google Sans" w:cs="Google Sans" w:eastAsia="Google Sans" w:hAnsi="Google Sans"/>
            <w:color w:val="0000ee"/>
            <w:sz w:val="24"/>
            <w:szCs w:val="24"/>
            <w:u w:val="single"/>
            <w:rtl w:val="0"/>
          </w:rPr>
          <w:t xml:space="preserve">https://chips-dli.gov.in/</w:t>
        </w:r>
      </w:hyperlink>
      <w:r w:rsidDel="00000000" w:rsidR="00000000" w:rsidRPr="00000000">
        <w:rPr>
          <w:rtl w:val="0"/>
        </w:rPr>
      </w:r>
    </w:p>
    <w:p w:rsidR="00000000" w:rsidDel="00000000" w:rsidP="00000000" w:rsidRDefault="00000000" w:rsidRPr="00000000" w14:paraId="0000014D">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Much Does a Tapeout Cost? A Practical Guide for Fabless Startups | Silicon Analysts, </w:t>
      </w:r>
      <w:hyperlink r:id="rId118">
        <w:r w:rsidDel="00000000" w:rsidR="00000000" w:rsidRPr="00000000">
          <w:rPr>
            <w:rFonts w:ascii="Google Sans" w:cs="Google Sans" w:eastAsia="Google Sans" w:hAnsi="Google Sans"/>
            <w:color w:val="0000ee"/>
            <w:sz w:val="24"/>
            <w:szCs w:val="24"/>
            <w:u w:val="single"/>
            <w:rtl w:val="0"/>
          </w:rPr>
          <w:t xml:space="preserve">https://siliconanalysts.com/analysis/fabless-startup-tapeout-cost-guide</w:t>
        </w:r>
      </w:hyperlink>
      <w:r w:rsidDel="00000000" w:rsidR="00000000" w:rsidRPr="00000000">
        <w:rPr>
          <w:rtl w:val="0"/>
        </w:rPr>
      </w:r>
    </w:p>
    <w:p w:rsidR="00000000" w:rsidDel="00000000" w:rsidP="00000000" w:rsidRDefault="00000000" w:rsidRPr="00000000" w14:paraId="0000014E">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Multi Project Wafer (MPW) Guide | Complete MPW Shuttle Service Explained - VLSIShuttle, </w:t>
      </w:r>
      <w:hyperlink r:id="rId119">
        <w:r w:rsidDel="00000000" w:rsidR="00000000" w:rsidRPr="00000000">
          <w:rPr>
            <w:rFonts w:ascii="Google Sans" w:cs="Google Sans" w:eastAsia="Google Sans" w:hAnsi="Google Sans"/>
            <w:color w:val="0000ee"/>
            <w:sz w:val="24"/>
            <w:szCs w:val="24"/>
            <w:u w:val="single"/>
            <w:rtl w:val="0"/>
          </w:rPr>
          <w:t xml:space="preserve">https://www.vlsishuttle.com/en/learn/mpw-guide</w:t>
        </w:r>
      </w:hyperlink>
      <w:r w:rsidDel="00000000" w:rsidR="00000000" w:rsidRPr="00000000">
        <w:rPr>
          <w:rtl w:val="0"/>
        </w:rPr>
      </w:r>
    </w:p>
    <w:p w:rsidR="00000000" w:rsidDel="00000000" w:rsidP="00000000" w:rsidRDefault="00000000" w:rsidRPr="00000000" w14:paraId="0000014F">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2021 PRICELIST FOR MINI@SIC EUROPRACTICE MPW RUNS, </w:t>
      </w:r>
      <w:hyperlink r:id="rId120">
        <w:r w:rsidDel="00000000" w:rsidR="00000000" w:rsidRPr="00000000">
          <w:rPr>
            <w:rFonts w:ascii="Google Sans" w:cs="Google Sans" w:eastAsia="Google Sans" w:hAnsi="Google Sans"/>
            <w:color w:val="0000ee"/>
            <w:sz w:val="24"/>
            <w:szCs w:val="24"/>
            <w:u w:val="single"/>
            <w:rtl w:val="0"/>
          </w:rPr>
          <w:t xml:space="preserve">https://europractice-ic.com/wp-content/uploads/2020/12/Miniasic-MPW-EUROPRACTICE-2021_v1.pdf</w:t>
        </w:r>
      </w:hyperlink>
      <w:r w:rsidDel="00000000" w:rsidR="00000000" w:rsidRPr="00000000">
        <w:rPr>
          <w:rtl w:val="0"/>
        </w:rPr>
      </w:r>
    </w:p>
    <w:p w:rsidR="00000000" w:rsidDel="00000000" w:rsidP="00000000" w:rsidRDefault="00000000" w:rsidRPr="00000000" w14:paraId="00000150">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mandatory safety devices for heavy commercial vehicles - Press Release: Press Information Bureau, </w:t>
      </w:r>
      <w:hyperlink r:id="rId121">
        <w:r w:rsidDel="00000000" w:rsidR="00000000" w:rsidRPr="00000000">
          <w:rPr>
            <w:rFonts w:ascii="Google Sans" w:cs="Google Sans" w:eastAsia="Google Sans" w:hAnsi="Google Sans"/>
            <w:color w:val="0000ee"/>
            <w:sz w:val="24"/>
            <w:szCs w:val="24"/>
            <w:u w:val="single"/>
            <w:rtl w:val="0"/>
          </w:rPr>
          <w:t xml:space="preserve">https://www.pib.gov.in/PressReleaseDetail.aspx?PRID=2227148®=3&amp;lang=1</w:t>
        </w:r>
      </w:hyperlink>
      <w:r w:rsidDel="00000000" w:rsidR="00000000" w:rsidRPr="00000000">
        <w:rPr>
          <w:rtl w:val="0"/>
        </w:rPr>
      </w:r>
    </w:p>
    <w:p w:rsidR="00000000" w:rsidDel="00000000" w:rsidP="00000000" w:rsidRDefault="00000000" w:rsidRPr="00000000" w14:paraId="00000151">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mandatory safety devices for heavy commercial vehicles - PIB, </w:t>
      </w:r>
      <w:hyperlink r:id="rId122">
        <w:r w:rsidDel="00000000" w:rsidR="00000000" w:rsidRPr="00000000">
          <w:rPr>
            <w:rFonts w:ascii="Google Sans" w:cs="Google Sans" w:eastAsia="Google Sans" w:hAnsi="Google Sans"/>
            <w:color w:val="0000ee"/>
            <w:sz w:val="24"/>
            <w:szCs w:val="24"/>
            <w:u w:val="single"/>
            <w:rtl w:val="0"/>
          </w:rPr>
          <w:t xml:space="preserve">https://www.pib.gov.in/PressReleasePage.aspx?PRID=2227148®=6&amp;lang=1</w:t>
        </w:r>
      </w:hyperlink>
      <w:r w:rsidDel="00000000" w:rsidR="00000000" w:rsidRPr="00000000">
        <w:rPr>
          <w:rtl w:val="0"/>
        </w:rPr>
      </w:r>
    </w:p>
    <w:p w:rsidR="00000000" w:rsidDel="00000000" w:rsidP="00000000" w:rsidRDefault="00000000" w:rsidRPr="00000000" w14:paraId="00000152">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News &amp; Updates - Technovuus ARAI, </w:t>
      </w:r>
      <w:hyperlink r:id="rId123">
        <w:r w:rsidDel="00000000" w:rsidR="00000000" w:rsidRPr="00000000">
          <w:rPr>
            <w:rFonts w:ascii="Google Sans" w:cs="Google Sans" w:eastAsia="Google Sans" w:hAnsi="Google Sans"/>
            <w:color w:val="0000ee"/>
            <w:sz w:val="24"/>
            <w:szCs w:val="24"/>
            <w:u w:val="single"/>
            <w:rtl w:val="0"/>
          </w:rPr>
          <w:t xml:space="preserve">https://technovuus.araiindia.com/blogs/blogDetails/MTQxNg==</w:t>
        </w:r>
      </w:hyperlink>
      <w:r w:rsidDel="00000000" w:rsidR="00000000" w:rsidRPr="00000000">
        <w:rPr>
          <w:rtl w:val="0"/>
        </w:rPr>
      </w:r>
    </w:p>
    <w:p w:rsidR="00000000" w:rsidDel="00000000" w:rsidP="00000000" w:rsidRDefault="00000000" w:rsidRPr="00000000" w14:paraId="00000153">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okf"kZd fjiksVZ - 2025-26, </w:t>
      </w:r>
      <w:hyperlink r:id="rId124">
        <w:r w:rsidDel="00000000" w:rsidR="00000000" w:rsidRPr="00000000">
          <w:rPr>
            <w:rFonts w:ascii="Google Sans" w:cs="Google Sans" w:eastAsia="Google Sans" w:hAnsi="Google Sans"/>
            <w:color w:val="0000ee"/>
            <w:sz w:val="24"/>
            <w:szCs w:val="24"/>
            <w:u w:val="single"/>
            <w:rtl w:val="0"/>
          </w:rPr>
          <w:t xml:space="preserve">https://heavyindustries.gov.in/sites/default/files/2026-03/final_heavy_annual_report_2025-26_hindi_english_28_march_2026.pdf</w:t>
        </w:r>
      </w:hyperlink>
      <w:r w:rsidDel="00000000" w:rsidR="00000000" w:rsidRPr="00000000">
        <w:rPr>
          <w:rtl w:val="0"/>
        </w:rPr>
      </w:r>
    </w:p>
    <w:p w:rsidR="00000000" w:rsidDel="00000000" w:rsidP="00000000" w:rsidRDefault="00000000" w:rsidRPr="00000000" w14:paraId="00000154">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WASL Compliance for Fleet Operators in Saudi Arabia - IPTech, </w:t>
      </w:r>
      <w:hyperlink r:id="rId125">
        <w:r w:rsidDel="00000000" w:rsidR="00000000" w:rsidRPr="00000000">
          <w:rPr>
            <w:rFonts w:ascii="Google Sans" w:cs="Google Sans" w:eastAsia="Google Sans" w:hAnsi="Google Sans"/>
            <w:color w:val="0000ee"/>
            <w:sz w:val="24"/>
            <w:szCs w:val="24"/>
            <w:u w:val="single"/>
            <w:rtl w:val="0"/>
          </w:rPr>
          <w:t xml:space="preserve">https://iptech.com.sa/blog/wasl-compliance-guide-saudi-arabia</w:t>
        </w:r>
      </w:hyperlink>
      <w:r w:rsidDel="00000000" w:rsidR="00000000" w:rsidRPr="00000000">
        <w:rPr>
          <w:rtl w:val="0"/>
        </w:rPr>
      </w:r>
    </w:p>
    <w:p w:rsidR="00000000" w:rsidDel="00000000" w:rsidP="00000000" w:rsidRDefault="00000000" w:rsidRPr="00000000" w14:paraId="00000155">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Saudi Arabia TGA &amp; WASL Compliance - Fleetbooks, </w:t>
      </w:r>
      <w:hyperlink r:id="rId126">
        <w:r w:rsidDel="00000000" w:rsidR="00000000" w:rsidRPr="00000000">
          <w:rPr>
            <w:rFonts w:ascii="Google Sans" w:cs="Google Sans" w:eastAsia="Google Sans" w:hAnsi="Google Sans"/>
            <w:color w:val="0000ee"/>
            <w:sz w:val="24"/>
            <w:szCs w:val="24"/>
            <w:u w:val="single"/>
            <w:rtl w:val="0"/>
          </w:rPr>
          <w:t xml:space="preserve">https://www.fleet-books.com/features/saudi-tga-wasl-compliance</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42" Type="http://schemas.openxmlformats.org/officeDocument/2006/relationships/image" Target="media/image35.png"/><Relationship Id="rId41" Type="http://schemas.openxmlformats.org/officeDocument/2006/relationships/image" Target="media/image12.png"/><Relationship Id="rId44" Type="http://schemas.openxmlformats.org/officeDocument/2006/relationships/image" Target="media/image29.png"/><Relationship Id="rId43" Type="http://schemas.openxmlformats.org/officeDocument/2006/relationships/image" Target="media/image32.png"/><Relationship Id="rId46" Type="http://schemas.openxmlformats.org/officeDocument/2006/relationships/image" Target="media/image30.png"/><Relationship Id="rId45" Type="http://schemas.openxmlformats.org/officeDocument/2006/relationships/image" Target="media/image58.png"/><Relationship Id="rId107" Type="http://schemas.openxmlformats.org/officeDocument/2006/relationships/hyperlink" Target="https://evreporter.com/swaayatt-robots-developing-autonomous-driving-tech-in-india/" TargetMode="External"/><Relationship Id="rId106" Type="http://schemas.openxmlformats.org/officeDocument/2006/relationships/hyperlink" Target="https://tracxn.com/d/companies/swaayatt-robots/__u8mmLvfsdgtXBeF-in5PeUUNBPK9QHjOw_2HCUF41SE" TargetMode="External"/><Relationship Id="rId105" Type="http://schemas.openxmlformats.org/officeDocument/2006/relationships/hyperlink" Target="https://www.businesstoday.in/entrepreneurship/news/story/ai-based-self-driving-tech-start-up-minus-zero-unveils-indias-first-fully-autonomous-vehicle-384125-2023-06-04" TargetMode="External"/><Relationship Id="rId104" Type="http://schemas.openxmlformats.org/officeDocument/2006/relationships/hyperlink" Target="https://minuszero.ai/" TargetMode="External"/><Relationship Id="rId109" Type="http://schemas.openxmlformats.org/officeDocument/2006/relationships/hyperlink" Target="https://www.foundernest.com/insights/12-companies-innovating-in-ai-for-electric-vehicles" TargetMode="External"/><Relationship Id="rId108" Type="http://schemas.openxmlformats.org/officeDocument/2006/relationships/hyperlink" Target="https://tracxn.com/d/companies/roshai/__K29xlAvYRv8uVRqaDDxfxhRGpZ6WNbj1wGSSbQ5Vtb0" TargetMode="External"/><Relationship Id="rId48" Type="http://schemas.openxmlformats.org/officeDocument/2006/relationships/image" Target="media/image50.png"/><Relationship Id="rId47" Type="http://schemas.openxmlformats.org/officeDocument/2006/relationships/image" Target="media/image38.png"/><Relationship Id="rId49" Type="http://schemas.openxmlformats.org/officeDocument/2006/relationships/image" Target="media/image66.png"/><Relationship Id="rId103" Type="http://schemas.openxmlformats.org/officeDocument/2006/relationships/hyperlink" Target="https://www.equitypandit.com/minus-zero-unveils-ai-autopilot-that-navigates-cattle-and-carts-on-indian-roads/" TargetMode="External"/><Relationship Id="rId102" Type="http://schemas.openxmlformats.org/officeDocument/2006/relationships/hyperlink" Target="https://www.analyticsvidhya.com/blog/2023/06/minus-zeros-zpod-indias-first-ai-driven-autonomous-vehicle/" TargetMode="External"/><Relationship Id="rId101" Type="http://schemas.openxmlformats.org/officeDocument/2006/relationships/hyperlink" Target="https://www.bisinfotech.com/agnit-semiconductors-bolsters-indias-deep-tech-ambitions-with-2-6m-funding/" TargetMode="External"/><Relationship Id="rId100" Type="http://schemas.openxmlformats.org/officeDocument/2006/relationships/hyperlink" Target="https://tracxn.com/d/companies/agnit-semiconductors/__XHueec5X-6e0FajX2npH4wljJ2MYBYnV9Lu4FTLcp2o" TargetMode="External"/><Relationship Id="rId31" Type="http://schemas.openxmlformats.org/officeDocument/2006/relationships/image" Target="media/image3.png"/><Relationship Id="rId30" Type="http://schemas.openxmlformats.org/officeDocument/2006/relationships/image" Target="media/image44.png"/><Relationship Id="rId33" Type="http://schemas.openxmlformats.org/officeDocument/2006/relationships/image" Target="media/image15.png"/><Relationship Id="rId32" Type="http://schemas.openxmlformats.org/officeDocument/2006/relationships/image" Target="media/image48.png"/><Relationship Id="rId35" Type="http://schemas.openxmlformats.org/officeDocument/2006/relationships/image" Target="media/image27.png"/><Relationship Id="rId34" Type="http://schemas.openxmlformats.org/officeDocument/2006/relationships/image" Target="media/image14.png"/><Relationship Id="rId37" Type="http://schemas.openxmlformats.org/officeDocument/2006/relationships/image" Target="media/image22.png"/><Relationship Id="rId36" Type="http://schemas.openxmlformats.org/officeDocument/2006/relationships/image" Target="media/image17.png"/><Relationship Id="rId39" Type="http://schemas.openxmlformats.org/officeDocument/2006/relationships/image" Target="media/image1.png"/><Relationship Id="rId38" Type="http://schemas.openxmlformats.org/officeDocument/2006/relationships/image" Target="media/image40.png"/><Relationship Id="rId20" Type="http://schemas.openxmlformats.org/officeDocument/2006/relationships/image" Target="media/image4.png"/><Relationship Id="rId22" Type="http://schemas.openxmlformats.org/officeDocument/2006/relationships/image" Target="media/image59.png"/><Relationship Id="rId21" Type="http://schemas.openxmlformats.org/officeDocument/2006/relationships/image" Target="media/image19.png"/><Relationship Id="rId24" Type="http://schemas.openxmlformats.org/officeDocument/2006/relationships/image" Target="media/image20.png"/><Relationship Id="rId23" Type="http://schemas.openxmlformats.org/officeDocument/2006/relationships/image" Target="media/image24.png"/><Relationship Id="rId126" Type="http://schemas.openxmlformats.org/officeDocument/2006/relationships/hyperlink" Target="https://www.fleet-books.com/features/saudi-tga-wasl-compliance" TargetMode="External"/><Relationship Id="rId26" Type="http://schemas.openxmlformats.org/officeDocument/2006/relationships/image" Target="media/image60.png"/><Relationship Id="rId121" Type="http://schemas.openxmlformats.org/officeDocument/2006/relationships/hyperlink" Target="https://www.pib.gov.in/PressReleaseDetail.aspx?PRID=2227148&amp;reg=3&amp;lang=1" TargetMode="External"/><Relationship Id="rId25" Type="http://schemas.openxmlformats.org/officeDocument/2006/relationships/image" Target="media/image47.png"/><Relationship Id="rId120" Type="http://schemas.openxmlformats.org/officeDocument/2006/relationships/hyperlink" Target="https://europractice-ic.com/wp-content/uploads/2020/12/Miniasic-MPW-EUROPRACTICE-2021_v1.pdf" TargetMode="External"/><Relationship Id="rId28" Type="http://schemas.openxmlformats.org/officeDocument/2006/relationships/image" Target="media/image45.png"/><Relationship Id="rId27" Type="http://schemas.openxmlformats.org/officeDocument/2006/relationships/image" Target="media/image43.png"/><Relationship Id="rId125" Type="http://schemas.openxmlformats.org/officeDocument/2006/relationships/hyperlink" Target="https://iptech.com.sa/blog/wasl-compliance-guide-saudi-arabia" TargetMode="External"/><Relationship Id="rId29" Type="http://schemas.openxmlformats.org/officeDocument/2006/relationships/image" Target="media/image46.png"/><Relationship Id="rId124" Type="http://schemas.openxmlformats.org/officeDocument/2006/relationships/hyperlink" Target="https://heavyindustries.gov.in/sites/default/files/2026-03/final_heavy_annual_report_2025-26_hindi_english_28_march_2026.pdf" TargetMode="External"/><Relationship Id="rId123" Type="http://schemas.openxmlformats.org/officeDocument/2006/relationships/hyperlink" Target="https://technovuus.araiindia.com/blogs/blogDetails/MTQxNg==" TargetMode="External"/><Relationship Id="rId122" Type="http://schemas.openxmlformats.org/officeDocument/2006/relationships/hyperlink" Target="https://www.pib.gov.in/PressReleasePage.aspx?PRID=2227148&amp;reg=6&amp;lang=1" TargetMode="External"/><Relationship Id="rId95" Type="http://schemas.openxmlformats.org/officeDocument/2006/relationships/hyperlink" Target="https://startupintros.com/orgs/mindgrove" TargetMode="External"/><Relationship Id="rId94" Type="http://schemas.openxmlformats.org/officeDocument/2006/relationships/hyperlink" Target="https://www.niftytrader.in/markets/netrasemis-a2000-chip-production-ready2027/" TargetMode="External"/><Relationship Id="rId97" Type="http://schemas.openxmlformats.org/officeDocument/2006/relationships/hyperlink" Target="https://inc42.com/company/netrasemi/funding/" TargetMode="External"/><Relationship Id="rId96" Type="http://schemas.openxmlformats.org/officeDocument/2006/relationships/hyperlink" Target="https://newmarketpitch.com/blogs/news/autonomous-vehicle-top-startups-fundraising" TargetMode="External"/><Relationship Id="rId11" Type="http://schemas.openxmlformats.org/officeDocument/2006/relationships/image" Target="media/image54.png"/><Relationship Id="rId99" Type="http://schemas.openxmlformats.org/officeDocument/2006/relationships/hyperlink" Target="https://startupintros.com/orgs/netrasemi" TargetMode="External"/><Relationship Id="rId10" Type="http://schemas.openxmlformats.org/officeDocument/2006/relationships/image" Target="media/image49.png"/><Relationship Id="rId98" Type="http://schemas.openxmlformats.org/officeDocument/2006/relationships/hyperlink" Target="https://pitchbook.com/profiles/company/567492-40" TargetMode="External"/><Relationship Id="rId13" Type="http://schemas.openxmlformats.org/officeDocument/2006/relationships/image" Target="media/image7.png"/><Relationship Id="rId12" Type="http://schemas.openxmlformats.org/officeDocument/2006/relationships/image" Target="media/image11.png"/><Relationship Id="rId91" Type="http://schemas.openxmlformats.org/officeDocument/2006/relationships/hyperlink" Target="https://iotee.co/en/services/logistics-tracking" TargetMode="External"/><Relationship Id="rId90" Type="http://schemas.openxmlformats.org/officeDocument/2006/relationships/hyperlink" Target="https://www.swaayattrobots.com/" TargetMode="External"/><Relationship Id="rId93" Type="http://schemas.openxmlformats.org/officeDocument/2006/relationships/hyperlink" Target="https://tracxn.com/d/companies/mindgrove/__-Do6jVQlyS_861Dm7fKw-MqtJebC3YaKQEosnRMrZvQ" TargetMode="External"/><Relationship Id="rId92" Type="http://schemas.openxmlformats.org/officeDocument/2006/relationships/hyperlink" Target="https://www.deloitte.com/middle-east/en/our-thinking/mepov-magazine/next-generation-business/the-road-ahead-autonomous-vehicle-manufacturing-and-adoption-the-gcc.html" TargetMode="External"/><Relationship Id="rId118" Type="http://schemas.openxmlformats.org/officeDocument/2006/relationships/hyperlink" Target="https://siliconanalysts.com/analysis/fabless-startup-tapeout-cost-guide" TargetMode="External"/><Relationship Id="rId117" Type="http://schemas.openxmlformats.org/officeDocument/2006/relationships/hyperlink" Target="https://chips-dli.gov.in/" TargetMode="External"/><Relationship Id="rId116" Type="http://schemas.openxmlformats.org/officeDocument/2006/relationships/hyperlink" Target="https://www.shankariasparliament.com/current-affairs/design-linked-incentive-dli-scheme" TargetMode="External"/><Relationship Id="rId115" Type="http://schemas.openxmlformats.org/officeDocument/2006/relationships/hyperlink" Target="https://siliconanalysts.com/guide/foundry-engagement" TargetMode="External"/><Relationship Id="rId119" Type="http://schemas.openxmlformats.org/officeDocument/2006/relationships/hyperlink" Target="https://www.vlsishuttle.com/en/learn/mpw-guide" TargetMode="External"/><Relationship Id="rId15" Type="http://schemas.openxmlformats.org/officeDocument/2006/relationships/image" Target="media/image62.png"/><Relationship Id="rId110" Type="http://schemas.openxmlformats.org/officeDocument/2006/relationships/hyperlink" Target="https://autotechinsight.spglobal.com/news/5287184/autonomous-a2z-secures-405-billion-won-pre-ipo-funding-for-global-expansion-and-ai-projects" TargetMode="External"/><Relationship Id="rId14" Type="http://schemas.openxmlformats.org/officeDocument/2006/relationships/image" Target="media/image18.png"/><Relationship Id="rId17" Type="http://schemas.openxmlformats.org/officeDocument/2006/relationships/image" Target="media/image51.png"/><Relationship Id="rId16" Type="http://schemas.openxmlformats.org/officeDocument/2006/relationships/image" Target="media/image42.png"/><Relationship Id="rId19" Type="http://schemas.openxmlformats.org/officeDocument/2006/relationships/image" Target="media/image63.png"/><Relationship Id="rId114" Type="http://schemas.openxmlformats.org/officeDocument/2006/relationships/hyperlink" Target="https://yuvacompetitiveacademy.com/articles/design-linked-incentive-dli-scheme-catalysing-indias-semiconductor-design-ecosystem/" TargetMode="External"/><Relationship Id="rId18" Type="http://schemas.openxmlformats.org/officeDocument/2006/relationships/image" Target="media/image28.png"/><Relationship Id="rId113" Type="http://schemas.openxmlformats.org/officeDocument/2006/relationships/hyperlink" Target="https://www.pib.gov.in/PressReleasePage.aspx?PRID=2211220&amp;reg=3&amp;lang=1" TargetMode="External"/><Relationship Id="rId112" Type="http://schemas.openxmlformats.org/officeDocument/2006/relationships/hyperlink" Target="https://kpiasacademy.com/indias-design-linked-incentive-scheme-semiconductor-design/" TargetMode="External"/><Relationship Id="rId111" Type="http://schemas.openxmlformats.org/officeDocument/2006/relationships/hyperlink" Target="https://www.nirmankit.in/learn/semiconductor-dli-how-to" TargetMode="External"/><Relationship Id="rId84" Type="http://schemas.openxmlformats.org/officeDocument/2006/relationships/hyperlink" Target="https://www.3one4capital.com/blogs/agnit-semiconductors-raises-2-6m-in-seed-extension-building-indias-first-vertically-integrated-gan-semiconductor-platform-for-advanced-radio-frequency-and-power-electronics-applications" TargetMode="External"/><Relationship Id="rId83" Type="http://schemas.openxmlformats.org/officeDocument/2006/relationships/hyperlink" Target="https://datafin.in/blog/zoho-backed-netrasemi-edge-ai-chip-series-a-funding" TargetMode="External"/><Relationship Id="rId86" Type="http://schemas.openxmlformats.org/officeDocument/2006/relationships/hyperlink" Target="https://www.abdynamics.com/what-does-indias-2026-heavy-vehicle-adas-mandate-mean-for-testing/" TargetMode="External"/><Relationship Id="rId85" Type="http://schemas.openxmlformats.org/officeDocument/2006/relationships/hyperlink" Target="https://www.thecore.in/business/self-driving-cars-india-assisted-driving-systems-547999" TargetMode="External"/><Relationship Id="rId88" Type="http://schemas.openxmlformats.org/officeDocument/2006/relationships/hyperlink" Target="https://iptech.com.sa/wasl-compliance" TargetMode="External"/><Relationship Id="rId87" Type="http://schemas.openxmlformats.org/officeDocument/2006/relationships/hyperlink" Target="https://arxiv.org/html/2607.06170v1" TargetMode="External"/><Relationship Id="rId89" Type="http://schemas.openxmlformats.org/officeDocument/2006/relationships/hyperlink" Target="https://agnile.com/resources/ais-189-190-guide" TargetMode="External"/><Relationship Id="rId80" Type="http://schemas.openxmlformats.org/officeDocument/2006/relationships/hyperlink" Target="https://www.scribd.com/document/634802526/AIS-004-Part-3-Rev-1-1" TargetMode="External"/><Relationship Id="rId82" Type="http://schemas.openxmlformats.org/officeDocument/2006/relationships/hyperlink" Target="https://siliconanalysts.com/guide/semiconductor-costs" TargetMode="External"/><Relationship Id="rId81" Type="http://schemas.openxmlformats.org/officeDocument/2006/relationships/hyperlink" Target="https://5.imimg.com/data5/SELLER/Doc/2020/9/XO/QA/XO/62947934/automotive-ais-certification-service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10.png"/><Relationship Id="rId7" Type="http://schemas.openxmlformats.org/officeDocument/2006/relationships/image" Target="media/image37.png"/><Relationship Id="rId8" Type="http://schemas.openxmlformats.org/officeDocument/2006/relationships/image" Target="media/image34.png"/><Relationship Id="rId73" Type="http://schemas.openxmlformats.org/officeDocument/2006/relationships/image" Target="media/image6.png"/><Relationship Id="rId72" Type="http://schemas.openxmlformats.org/officeDocument/2006/relationships/image" Target="media/image9.png"/><Relationship Id="rId75" Type="http://schemas.openxmlformats.org/officeDocument/2006/relationships/hyperlink" Target="https://anysilicon.com/28nm-wafer-mpw-cost/" TargetMode="External"/><Relationship Id="rId74" Type="http://schemas.openxmlformats.org/officeDocument/2006/relationships/hyperlink" Target="https://resolute-dynamics.com/2025-uae-mena-fleet-law-updates/" TargetMode="External"/><Relationship Id="rId77" Type="http://schemas.openxmlformats.org/officeDocument/2006/relationships/hyperlink" Target="https://www.challanwala.com/blogs/indias-2026-heavy-vehicle-adas-mandate-testing" TargetMode="External"/><Relationship Id="rId76" Type="http://schemas.openxmlformats.org/officeDocument/2006/relationships/hyperlink" Target="https://www.pib.gov.in/PressReleasePage.aspx?PRID=2227148" TargetMode="External"/><Relationship Id="rId79" Type="http://schemas.openxmlformats.org/officeDocument/2006/relationships/hyperlink" Target="https://www.electraytech.com/indian-automotive-regulatory-landscape-2026-ev-standards/" TargetMode="External"/><Relationship Id="rId78" Type="http://schemas.openxmlformats.org/officeDocument/2006/relationships/hyperlink" Target="https://flotillaiot.com/wasl-integration-with-flotilla-iot-and-its-benefits/" TargetMode="External"/><Relationship Id="rId71" Type="http://schemas.openxmlformats.org/officeDocument/2006/relationships/image" Target="media/image25.png"/><Relationship Id="rId70" Type="http://schemas.openxmlformats.org/officeDocument/2006/relationships/image" Target="media/image13.png"/><Relationship Id="rId62" Type="http://schemas.openxmlformats.org/officeDocument/2006/relationships/image" Target="media/image64.png"/><Relationship Id="rId61" Type="http://schemas.openxmlformats.org/officeDocument/2006/relationships/image" Target="media/image31.png"/><Relationship Id="rId64" Type="http://schemas.openxmlformats.org/officeDocument/2006/relationships/image" Target="media/image52.png"/><Relationship Id="rId63" Type="http://schemas.openxmlformats.org/officeDocument/2006/relationships/image" Target="media/image57.png"/><Relationship Id="rId66" Type="http://schemas.openxmlformats.org/officeDocument/2006/relationships/image" Target="media/image67.png"/><Relationship Id="rId65" Type="http://schemas.openxmlformats.org/officeDocument/2006/relationships/image" Target="media/image53.png"/><Relationship Id="rId68" Type="http://schemas.openxmlformats.org/officeDocument/2006/relationships/image" Target="media/image16.png"/><Relationship Id="rId67" Type="http://schemas.openxmlformats.org/officeDocument/2006/relationships/image" Target="media/image61.png"/><Relationship Id="rId60" Type="http://schemas.openxmlformats.org/officeDocument/2006/relationships/image" Target="media/image65.png"/><Relationship Id="rId69" Type="http://schemas.openxmlformats.org/officeDocument/2006/relationships/image" Target="media/image5.png"/><Relationship Id="rId51" Type="http://schemas.openxmlformats.org/officeDocument/2006/relationships/image" Target="media/image21.png"/><Relationship Id="rId50" Type="http://schemas.openxmlformats.org/officeDocument/2006/relationships/image" Target="media/image33.png"/><Relationship Id="rId53" Type="http://schemas.openxmlformats.org/officeDocument/2006/relationships/image" Target="media/image26.png"/><Relationship Id="rId52" Type="http://schemas.openxmlformats.org/officeDocument/2006/relationships/image" Target="media/image23.png"/><Relationship Id="rId55" Type="http://schemas.openxmlformats.org/officeDocument/2006/relationships/image" Target="media/image39.png"/><Relationship Id="rId54" Type="http://schemas.openxmlformats.org/officeDocument/2006/relationships/image" Target="media/image41.png"/><Relationship Id="rId57" Type="http://schemas.openxmlformats.org/officeDocument/2006/relationships/image" Target="media/image68.png"/><Relationship Id="rId56" Type="http://schemas.openxmlformats.org/officeDocument/2006/relationships/image" Target="media/image56.png"/><Relationship Id="rId59" Type="http://schemas.openxmlformats.org/officeDocument/2006/relationships/image" Target="media/image55.png"/><Relationship Id="rId58" Type="http://schemas.openxmlformats.org/officeDocument/2006/relationships/image" Target="media/image36.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